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B39AA" w14:textId="77777777" w:rsidR="000A7CAF" w:rsidRDefault="006602E4">
      <w:r>
        <w:rPr>
          <w:noProof/>
        </w:rPr>
        <mc:AlternateContent>
          <mc:Choice Requires="wpg">
            <w:drawing>
              <wp:anchor distT="0" distB="0" distL="114300" distR="114300" simplePos="0" relativeHeight="251658240" behindDoc="0" locked="0" layoutInCell="1" hidden="0" allowOverlap="1" wp14:anchorId="4C8A5773" wp14:editId="3971AAB9">
                <wp:simplePos x="0" y="0"/>
                <wp:positionH relativeFrom="column">
                  <wp:posOffset>-1080135</wp:posOffset>
                </wp:positionH>
                <wp:positionV relativeFrom="paragraph">
                  <wp:posOffset>-2247900</wp:posOffset>
                </wp:positionV>
                <wp:extent cx="7496175" cy="9867900"/>
                <wp:effectExtent l="0" t="0" r="28575" b="0"/>
                <wp:wrapNone/>
                <wp:docPr id="574" name="574 Grupo"/>
                <wp:cNvGraphicFramePr/>
                <a:graphic xmlns:a="http://schemas.openxmlformats.org/drawingml/2006/main">
                  <a:graphicData uri="http://schemas.microsoft.com/office/word/2010/wordprocessingGroup">
                    <wpg:wgp>
                      <wpg:cNvGrpSpPr/>
                      <wpg:grpSpPr>
                        <a:xfrm>
                          <a:off x="0" y="0"/>
                          <a:ext cx="7496175" cy="9867900"/>
                          <a:chOff x="1597913" y="0"/>
                          <a:chExt cx="7496175" cy="7560000"/>
                        </a:xfrm>
                      </wpg:grpSpPr>
                      <wpg:grpSp>
                        <wpg:cNvPr id="1" name="1 Grupo"/>
                        <wpg:cNvGrpSpPr/>
                        <wpg:grpSpPr>
                          <a:xfrm>
                            <a:off x="1597913" y="0"/>
                            <a:ext cx="7496175" cy="7560000"/>
                            <a:chOff x="1664270" y="-1079569"/>
                            <a:chExt cx="7496672" cy="8638060"/>
                          </a:xfrm>
                        </wpg:grpSpPr>
                        <wps:wsp>
                          <wps:cNvPr id="2" name="2 Rectángulo"/>
                          <wps:cNvSpPr/>
                          <wps:spPr>
                            <a:xfrm>
                              <a:off x="1664270" y="-1079569"/>
                              <a:ext cx="7496650" cy="8638050"/>
                            </a:xfrm>
                            <a:prstGeom prst="rect">
                              <a:avLst/>
                            </a:prstGeom>
                            <a:noFill/>
                            <a:ln>
                              <a:noFill/>
                            </a:ln>
                          </wps:spPr>
                          <wps:txbx>
                            <w:txbxContent>
                              <w:p w14:paraId="1CD00675" w14:textId="77777777" w:rsidR="00D065EA" w:rsidRDefault="00D065EA">
                                <w:pPr>
                                  <w:spacing w:after="0" w:line="240" w:lineRule="auto"/>
                                  <w:textDirection w:val="btLr"/>
                                </w:pPr>
                              </w:p>
                            </w:txbxContent>
                          </wps:txbx>
                          <wps:bodyPr spcFirstLastPara="1" wrap="square" lIns="91425" tIns="91425" rIns="91425" bIns="91425" anchor="ctr" anchorCtr="0">
                            <a:noAutofit/>
                          </wps:bodyPr>
                        </wps:wsp>
                        <wpg:grpSp>
                          <wpg:cNvPr id="3" name="3 Grupo"/>
                          <wpg:cNvGrpSpPr/>
                          <wpg:grpSpPr>
                            <a:xfrm>
                              <a:off x="1664270" y="-1079569"/>
                              <a:ext cx="7496672" cy="8638060"/>
                              <a:chOff x="316" y="-1740"/>
                              <a:chExt cx="11818" cy="17171"/>
                            </a:xfrm>
                          </wpg:grpSpPr>
                          <wps:wsp>
                            <wps:cNvPr id="4" name="4 Rectángulo"/>
                            <wps:cNvSpPr/>
                            <wps:spPr>
                              <a:xfrm>
                                <a:off x="316" y="406"/>
                                <a:ext cx="11600" cy="15025"/>
                              </a:xfrm>
                              <a:prstGeom prst="rect">
                                <a:avLst/>
                              </a:prstGeom>
                              <a:noFill/>
                              <a:ln>
                                <a:noFill/>
                              </a:ln>
                            </wps:spPr>
                            <wps:txbx>
                              <w:txbxContent>
                                <w:p w14:paraId="23D46444" w14:textId="77777777" w:rsidR="00D065EA" w:rsidRDefault="00D065EA">
                                  <w:pPr>
                                    <w:spacing w:after="0" w:line="240" w:lineRule="auto"/>
                                    <w:textDirection w:val="btLr"/>
                                  </w:pPr>
                                </w:p>
                              </w:txbxContent>
                            </wps:txbx>
                            <wps:bodyPr spcFirstLastPara="1" wrap="square" lIns="91425" tIns="91425" rIns="91425" bIns="91425" anchor="ctr" anchorCtr="0">
                              <a:noAutofit/>
                            </wps:bodyPr>
                          </wps:wsp>
                          <wpg:grpSp>
                            <wpg:cNvPr id="5" name="5 Grupo"/>
                            <wpg:cNvGrpSpPr/>
                            <wpg:grpSpPr>
                              <a:xfrm>
                                <a:off x="544" y="-1740"/>
                                <a:ext cx="11590" cy="15341"/>
                                <a:chOff x="549" y="-1740"/>
                                <a:chExt cx="11582" cy="15338"/>
                              </a:xfrm>
                            </wpg:grpSpPr>
                            <wps:wsp>
                              <wps:cNvPr id="6" name="6 Rectángulo"/>
                              <wps:cNvSpPr/>
                              <wps:spPr>
                                <a:xfrm>
                                  <a:off x="549" y="-1740"/>
                                  <a:ext cx="11582" cy="15338"/>
                                </a:xfrm>
                                <a:prstGeom prst="rect">
                                  <a:avLst/>
                                </a:prstGeom>
                                <a:solidFill>
                                  <a:srgbClr val="4FD1FF"/>
                                </a:solidFill>
                                <a:ln w="12700" cap="flat" cmpd="sng">
                                  <a:solidFill>
                                    <a:srgbClr val="FFFFFF"/>
                                  </a:solidFill>
                                  <a:prstDash val="solid"/>
                                  <a:miter lim="800000"/>
                                  <a:headEnd type="none" w="sm" len="sm"/>
                                  <a:tailEnd type="none" w="sm" len="sm"/>
                                </a:ln>
                              </wps:spPr>
                              <wps:txbx>
                                <w:txbxContent>
                                  <w:p w14:paraId="66796FDC" w14:textId="77777777" w:rsidR="00D065EA" w:rsidRDefault="00D065EA">
                                    <w:pPr>
                                      <w:spacing w:after="0" w:line="240" w:lineRule="auto"/>
                                      <w:textDirection w:val="btLr"/>
                                    </w:pPr>
                                  </w:p>
                                </w:txbxContent>
                              </wps:txbx>
                              <wps:bodyPr spcFirstLastPara="1" wrap="square" lIns="91425" tIns="91425" rIns="91425" bIns="91425" anchor="ctr" anchorCtr="0">
                                <a:noAutofit/>
                              </wps:bodyPr>
                            </wps:wsp>
                            <wps:wsp>
                              <wps:cNvPr id="7" name="7 Rectángulo"/>
                              <wps:cNvSpPr/>
                              <wps:spPr>
                                <a:xfrm>
                                  <a:off x="3990" y="-1226"/>
                                  <a:ext cx="8103" cy="14799"/>
                                </a:xfrm>
                                <a:prstGeom prst="rect">
                                  <a:avLst/>
                                </a:prstGeom>
                                <a:solidFill>
                                  <a:srgbClr val="17365D"/>
                                </a:solidFill>
                                <a:ln w="12700" cap="flat" cmpd="sng">
                                  <a:solidFill>
                                    <a:schemeClr val="lt1"/>
                                  </a:solidFill>
                                  <a:prstDash val="solid"/>
                                  <a:miter lim="800000"/>
                                  <a:headEnd type="none" w="sm" len="sm"/>
                                  <a:tailEnd type="none" w="sm" len="sm"/>
                                </a:ln>
                              </wps:spPr>
                              <wps:txbx>
                                <w:txbxContent>
                                  <w:p w14:paraId="38C9345A" w14:textId="77777777" w:rsidR="00D065EA" w:rsidRDefault="00D065EA">
                                    <w:pPr>
                                      <w:spacing w:after="0" w:line="240" w:lineRule="auto"/>
                                      <w:jc w:val="center"/>
                                      <w:textDirection w:val="btLr"/>
                                    </w:pPr>
                                    <w:r>
                                      <w:rPr>
                                        <w:rFonts w:ascii="Arial" w:eastAsia="Arial" w:hAnsi="Arial" w:cs="Arial"/>
                                        <w:color w:val="FFFFFF"/>
                                        <w:sz w:val="80"/>
                                      </w:rPr>
                                      <w:t>Informe de Diagnóstico Sectorial</w:t>
                                    </w:r>
                                  </w:p>
                                  <w:p w14:paraId="19EA3957" w14:textId="77777777" w:rsidR="00D065EA" w:rsidRDefault="00D065EA" w:rsidP="00B22423">
                                    <w:pPr>
                                      <w:spacing w:after="0" w:line="240" w:lineRule="auto"/>
                                      <w:jc w:val="center"/>
                                      <w:textDirection w:val="btLr"/>
                                    </w:pPr>
                                    <w:r>
                                      <w:rPr>
                                        <w:rFonts w:ascii="Arial" w:eastAsia="Arial" w:hAnsi="Arial" w:cs="Arial"/>
                                        <w:color w:val="FFFFFF"/>
                                        <w:sz w:val="40"/>
                                      </w:rPr>
                                      <w:t>Secretaria Distrital de Desarrollo Económico</w:t>
                                    </w:r>
                                  </w:p>
                                  <w:p w14:paraId="49A66D83" w14:textId="77777777" w:rsidR="00D065EA" w:rsidRDefault="00D065EA">
                                    <w:pPr>
                                      <w:spacing w:after="0" w:line="240" w:lineRule="auto"/>
                                      <w:textDirection w:val="btLr"/>
                                    </w:pPr>
                                  </w:p>
                                  <w:p w14:paraId="10C40931" w14:textId="77777777" w:rsidR="00D065EA" w:rsidRDefault="00D065EA" w:rsidP="006602E4">
                                    <w:pPr>
                                      <w:spacing w:after="0" w:line="240" w:lineRule="auto"/>
                                      <w:jc w:val="both"/>
                                      <w:textDirection w:val="btLr"/>
                                    </w:pPr>
                                    <w:r>
                                      <w:rPr>
                                        <w:rFonts w:ascii="Arial" w:eastAsia="Arial" w:hAnsi="Arial" w:cs="Arial"/>
                                        <w:color w:val="FFFFFF"/>
                                        <w:sz w:val="36"/>
                                      </w:rPr>
                                      <w:t xml:space="preserve">El presente Informe contiene un análisis detallado de cada una de las problemáticas presentes en el sector de Desarrollo Económico de Bogotá (SDDE, IPES e IDT) y cómo estas han sido abordadas.  De la misma forma, dentro del documento se exponen cifras, datos y gráficas que soportan la información y que a su vez proveen una línea base al año 2019 para el gobierno entrante.  </w:t>
                                    </w:r>
                                  </w:p>
                                </w:txbxContent>
                              </wps:txbx>
                              <wps:bodyPr spcFirstLastPara="1" wrap="square" lIns="228600" tIns="1371600" rIns="457200" bIns="45700" anchor="t" anchorCtr="0">
                                <a:noAutofit/>
                              </wps:bodyPr>
                            </wps:wsp>
                            <wpg:grpSp>
                              <wpg:cNvPr id="8" name="8 Grupo"/>
                              <wpg:cNvGrpSpPr/>
                              <wpg:grpSpPr>
                                <a:xfrm>
                                  <a:off x="797" y="3438"/>
                                  <a:ext cx="3142" cy="6068"/>
                                  <a:chOff x="1093" y="3613"/>
                                  <a:chExt cx="2895" cy="5760"/>
                                </a:xfrm>
                              </wpg:grpSpPr>
                              <wps:wsp>
                                <wps:cNvPr id="9" name="9 Rectángulo"/>
                                <wps:cNvSpPr/>
                                <wps:spPr>
                                  <a:xfrm flipH="1">
                                    <a:off x="2533" y="6493"/>
                                    <a:ext cx="1440" cy="1440"/>
                                  </a:xfrm>
                                  <a:prstGeom prst="rect">
                                    <a:avLst/>
                                  </a:prstGeom>
                                  <a:solidFill>
                                    <a:srgbClr val="366092">
                                      <a:alpha val="80000"/>
                                    </a:srgbClr>
                                  </a:solidFill>
                                  <a:ln w="12700" cap="flat" cmpd="sng">
                                    <a:solidFill>
                                      <a:schemeClr val="lt1"/>
                                    </a:solidFill>
                                    <a:prstDash val="solid"/>
                                    <a:miter lim="800000"/>
                                    <a:headEnd type="none" w="sm" len="sm"/>
                                    <a:tailEnd type="none" w="sm" len="sm"/>
                                  </a:ln>
                                </wps:spPr>
                                <wps:txbx>
                                  <w:txbxContent>
                                    <w:p w14:paraId="09ADC1A5" w14:textId="77777777" w:rsidR="00D065EA" w:rsidRDefault="00D065EA">
                                      <w:pPr>
                                        <w:spacing w:after="0" w:line="240" w:lineRule="auto"/>
                                        <w:textDirection w:val="btLr"/>
                                      </w:pPr>
                                    </w:p>
                                  </w:txbxContent>
                                </wps:txbx>
                                <wps:bodyPr spcFirstLastPara="1" wrap="square" lIns="91425" tIns="91425" rIns="91425" bIns="91425" anchor="ctr" anchorCtr="0">
                                  <a:noAutofit/>
                                </wps:bodyPr>
                              </wps:wsp>
                              <wps:wsp>
                                <wps:cNvPr id="10" name="10 Rectángulo"/>
                                <wps:cNvSpPr/>
                                <wps:spPr>
                                  <a:xfrm flipH="1">
                                    <a:off x="2533" y="5053"/>
                                    <a:ext cx="1440" cy="1440"/>
                                  </a:xfrm>
                                  <a:prstGeom prst="rect">
                                    <a:avLst/>
                                  </a:prstGeom>
                                  <a:solidFill>
                                    <a:srgbClr val="B7CCE4">
                                      <a:alpha val="49411"/>
                                    </a:srgbClr>
                                  </a:solidFill>
                                  <a:ln w="12700" cap="flat" cmpd="sng">
                                    <a:solidFill>
                                      <a:schemeClr val="lt1"/>
                                    </a:solidFill>
                                    <a:prstDash val="solid"/>
                                    <a:miter lim="800000"/>
                                    <a:headEnd type="none" w="sm" len="sm"/>
                                    <a:tailEnd type="none" w="sm" len="sm"/>
                                  </a:ln>
                                </wps:spPr>
                                <wps:txbx>
                                  <w:txbxContent>
                                    <w:p w14:paraId="67230D27" w14:textId="77777777" w:rsidR="00D065EA" w:rsidRDefault="00D065EA">
                                      <w:pPr>
                                        <w:spacing w:after="0" w:line="240" w:lineRule="auto"/>
                                        <w:textDirection w:val="btLr"/>
                                      </w:pPr>
                                    </w:p>
                                  </w:txbxContent>
                                </wps:txbx>
                                <wps:bodyPr spcFirstLastPara="1" wrap="square" lIns="91425" tIns="91425" rIns="91425" bIns="91425" anchor="ctr" anchorCtr="0">
                                  <a:noAutofit/>
                                </wps:bodyPr>
                              </wps:wsp>
                              <wps:wsp>
                                <wps:cNvPr id="11" name="11 Rectángulo"/>
                                <wps:cNvSpPr/>
                                <wps:spPr>
                                  <a:xfrm flipH="1">
                                    <a:off x="1093" y="5053"/>
                                    <a:ext cx="1440" cy="1440"/>
                                  </a:xfrm>
                                  <a:prstGeom prst="rect">
                                    <a:avLst/>
                                  </a:prstGeom>
                                  <a:solidFill>
                                    <a:srgbClr val="366092">
                                      <a:alpha val="80000"/>
                                    </a:srgbClr>
                                  </a:solidFill>
                                  <a:ln w="12700" cap="flat" cmpd="sng">
                                    <a:solidFill>
                                      <a:schemeClr val="lt1"/>
                                    </a:solidFill>
                                    <a:prstDash val="solid"/>
                                    <a:miter lim="800000"/>
                                    <a:headEnd type="none" w="sm" len="sm"/>
                                    <a:tailEnd type="none" w="sm" len="sm"/>
                                  </a:ln>
                                </wps:spPr>
                                <wps:txbx>
                                  <w:txbxContent>
                                    <w:p w14:paraId="468FCFD2" w14:textId="77777777" w:rsidR="00D065EA" w:rsidRDefault="00D065EA">
                                      <w:pPr>
                                        <w:spacing w:after="0" w:line="240" w:lineRule="auto"/>
                                        <w:textDirection w:val="btLr"/>
                                      </w:pPr>
                                    </w:p>
                                  </w:txbxContent>
                                </wps:txbx>
                                <wps:bodyPr spcFirstLastPara="1" wrap="square" lIns="91425" tIns="91425" rIns="91425" bIns="91425" anchor="ctr" anchorCtr="0">
                                  <a:noAutofit/>
                                </wps:bodyPr>
                              </wps:wsp>
                              <wps:wsp>
                                <wps:cNvPr id="12" name="12 Rectángulo"/>
                                <wps:cNvSpPr/>
                                <wps:spPr>
                                  <a:xfrm flipH="1">
                                    <a:off x="2548" y="3613"/>
                                    <a:ext cx="1440" cy="1440"/>
                                  </a:xfrm>
                                  <a:prstGeom prst="rect">
                                    <a:avLst/>
                                  </a:prstGeom>
                                  <a:solidFill>
                                    <a:srgbClr val="B7CCE4">
                                      <a:alpha val="49411"/>
                                    </a:srgbClr>
                                  </a:solidFill>
                                  <a:ln w="12700" cap="flat" cmpd="sng">
                                    <a:solidFill>
                                      <a:schemeClr val="lt1"/>
                                    </a:solidFill>
                                    <a:prstDash val="solid"/>
                                    <a:miter lim="800000"/>
                                    <a:headEnd type="none" w="sm" len="sm"/>
                                    <a:tailEnd type="none" w="sm" len="sm"/>
                                  </a:ln>
                                </wps:spPr>
                                <wps:txbx>
                                  <w:txbxContent>
                                    <w:p w14:paraId="1067C7EF" w14:textId="77777777" w:rsidR="00D065EA" w:rsidRDefault="00D065EA">
                                      <w:pPr>
                                        <w:spacing w:after="0" w:line="240" w:lineRule="auto"/>
                                        <w:textDirection w:val="btLr"/>
                                      </w:pPr>
                                    </w:p>
                                  </w:txbxContent>
                                </wps:txbx>
                                <wps:bodyPr spcFirstLastPara="1" wrap="square" lIns="91425" tIns="91425" rIns="91425" bIns="91425" anchor="ctr" anchorCtr="0">
                                  <a:noAutofit/>
                                </wps:bodyPr>
                              </wps:wsp>
                              <wps:wsp>
                                <wps:cNvPr id="13" name="13 Rectángulo"/>
                                <wps:cNvSpPr/>
                                <wps:spPr>
                                  <a:xfrm flipH="1">
                                    <a:off x="1093" y="6493"/>
                                    <a:ext cx="1440" cy="1440"/>
                                  </a:xfrm>
                                  <a:prstGeom prst="rect">
                                    <a:avLst/>
                                  </a:prstGeom>
                                  <a:solidFill>
                                    <a:srgbClr val="B7CCE4">
                                      <a:alpha val="49411"/>
                                    </a:srgbClr>
                                  </a:solidFill>
                                  <a:ln w="12700" cap="flat" cmpd="sng">
                                    <a:solidFill>
                                      <a:schemeClr val="lt1"/>
                                    </a:solidFill>
                                    <a:prstDash val="solid"/>
                                    <a:miter lim="800000"/>
                                    <a:headEnd type="none" w="sm" len="sm"/>
                                    <a:tailEnd type="none" w="sm" len="sm"/>
                                  </a:ln>
                                </wps:spPr>
                                <wps:txbx>
                                  <w:txbxContent>
                                    <w:p w14:paraId="27ADEF09" w14:textId="77777777" w:rsidR="00D065EA" w:rsidRDefault="00D065EA">
                                      <w:pPr>
                                        <w:spacing w:after="0" w:line="240" w:lineRule="auto"/>
                                        <w:textDirection w:val="btLr"/>
                                      </w:pPr>
                                    </w:p>
                                  </w:txbxContent>
                                </wps:txbx>
                                <wps:bodyPr spcFirstLastPara="1" wrap="square" lIns="91425" tIns="91425" rIns="91425" bIns="91425" anchor="ctr" anchorCtr="0">
                                  <a:noAutofit/>
                                </wps:bodyPr>
                              </wps:wsp>
                              <wps:wsp>
                                <wps:cNvPr id="14" name="14 Rectángulo"/>
                                <wps:cNvSpPr/>
                                <wps:spPr>
                                  <a:xfrm flipH="1">
                                    <a:off x="2533" y="7933"/>
                                    <a:ext cx="1440" cy="1440"/>
                                  </a:xfrm>
                                  <a:prstGeom prst="rect">
                                    <a:avLst/>
                                  </a:prstGeom>
                                  <a:solidFill>
                                    <a:srgbClr val="B7CCE4">
                                      <a:alpha val="49411"/>
                                    </a:srgbClr>
                                  </a:solidFill>
                                  <a:ln w="12700" cap="flat" cmpd="sng">
                                    <a:solidFill>
                                      <a:schemeClr val="lt1"/>
                                    </a:solidFill>
                                    <a:prstDash val="solid"/>
                                    <a:miter lim="800000"/>
                                    <a:headEnd type="none" w="sm" len="sm"/>
                                    <a:tailEnd type="none" w="sm" len="sm"/>
                                  </a:ln>
                                </wps:spPr>
                                <wps:txbx>
                                  <w:txbxContent>
                                    <w:p w14:paraId="68DB5F5D" w14:textId="77777777" w:rsidR="00D065EA" w:rsidRDefault="00D065EA">
                                      <w:pPr>
                                        <w:spacing w:after="0" w:line="240" w:lineRule="auto"/>
                                        <w:textDirection w:val="btLr"/>
                                      </w:pPr>
                                    </w:p>
                                  </w:txbxContent>
                                </wps:txbx>
                                <wps:bodyPr spcFirstLastPara="1" wrap="square" lIns="91425" tIns="91425" rIns="91425" bIns="91425" anchor="ctr" anchorCtr="0">
                                  <a:noAutofit/>
                                </wps:bodyPr>
                              </wps:wsp>
                            </wpg:grpSp>
                            <wps:wsp>
                              <wps:cNvPr id="15" name="15 Rectángulo"/>
                              <wps:cNvSpPr/>
                              <wps:spPr>
                                <a:xfrm flipH="1">
                                  <a:off x="3441" y="-960"/>
                                  <a:ext cx="1563" cy="1518"/>
                                </a:xfrm>
                                <a:prstGeom prst="rect">
                                  <a:avLst/>
                                </a:prstGeom>
                                <a:solidFill>
                                  <a:srgbClr val="00B0F0"/>
                                </a:solidFill>
                                <a:ln w="12700" cap="flat" cmpd="sng">
                                  <a:solidFill>
                                    <a:schemeClr val="lt1"/>
                                  </a:solidFill>
                                  <a:prstDash val="solid"/>
                                  <a:miter lim="800000"/>
                                  <a:headEnd type="none" w="sm" len="sm"/>
                                  <a:tailEnd type="none" w="sm" len="sm"/>
                                </a:ln>
                              </wps:spPr>
                              <wps:txbx>
                                <w:txbxContent>
                                  <w:p w14:paraId="1CB0F2C7" w14:textId="77777777" w:rsidR="00D065EA" w:rsidRDefault="00D065EA">
                                    <w:pPr>
                                      <w:spacing w:line="275" w:lineRule="auto"/>
                                      <w:jc w:val="center"/>
                                      <w:textDirection w:val="btLr"/>
                                    </w:pPr>
                                    <w:r>
                                      <w:rPr>
                                        <w:color w:val="FFFFFF"/>
                                        <w:sz w:val="52"/>
                                      </w:rPr>
                                      <w:t>2019</w:t>
                                    </w:r>
                                  </w:p>
                                </w:txbxContent>
                              </wps:txbx>
                              <wps:bodyPr spcFirstLastPara="1" wrap="square" lIns="91425" tIns="45700" rIns="91425" bIns="45700" anchor="b" anchorCtr="0">
                                <a:noAutofit/>
                              </wps:bodyPr>
                            </wps:wsp>
                          </wpg:grpSp>
                          <wpg:grpSp>
                            <wpg:cNvPr id="16" name="16 Grupo"/>
                            <wpg:cNvGrpSpPr/>
                            <wpg:grpSpPr>
                              <a:xfrm rot="10800000">
                                <a:off x="10833" y="14380"/>
                                <a:ext cx="782" cy="760"/>
                                <a:chOff x="8754" y="11945"/>
                                <a:chExt cx="2880" cy="2859"/>
                              </a:xfrm>
                            </wpg:grpSpPr>
                            <wps:wsp>
                              <wps:cNvPr id="17" name="17 Rectángulo"/>
                              <wps:cNvSpPr/>
                              <wps:spPr>
                                <a:xfrm flipH="1">
                                  <a:off x="10194" y="11945"/>
                                  <a:ext cx="1440" cy="1440"/>
                                </a:xfrm>
                                <a:prstGeom prst="rect">
                                  <a:avLst/>
                                </a:prstGeom>
                                <a:solidFill>
                                  <a:srgbClr val="BFBFBF">
                                    <a:alpha val="49411"/>
                                  </a:srgbClr>
                                </a:solidFill>
                                <a:ln w="12700" cap="flat" cmpd="sng">
                                  <a:solidFill>
                                    <a:schemeClr val="lt1"/>
                                  </a:solidFill>
                                  <a:prstDash val="solid"/>
                                  <a:miter lim="800000"/>
                                  <a:headEnd type="none" w="sm" len="sm"/>
                                  <a:tailEnd type="none" w="sm" len="sm"/>
                                </a:ln>
                              </wps:spPr>
                              <wps:txbx>
                                <w:txbxContent>
                                  <w:p w14:paraId="00A22DDD" w14:textId="77777777" w:rsidR="00D065EA" w:rsidRDefault="00D065EA">
                                    <w:pPr>
                                      <w:spacing w:after="0" w:line="240" w:lineRule="auto"/>
                                      <w:textDirection w:val="btLr"/>
                                    </w:pPr>
                                  </w:p>
                                </w:txbxContent>
                              </wps:txbx>
                              <wps:bodyPr spcFirstLastPara="1" wrap="square" lIns="91425" tIns="91425" rIns="91425" bIns="91425" anchor="ctr" anchorCtr="0">
                                <a:noAutofit/>
                              </wps:bodyPr>
                            </wps:wsp>
                            <wps:wsp>
                              <wps:cNvPr id="18" name="18 Rectángulo"/>
                              <wps:cNvSpPr/>
                              <wps:spPr>
                                <a:xfrm flipH="1">
                                  <a:off x="10194" y="13364"/>
                                  <a:ext cx="1440" cy="1440"/>
                                </a:xfrm>
                                <a:prstGeom prst="rect">
                                  <a:avLst/>
                                </a:prstGeom>
                                <a:solidFill>
                                  <a:schemeClr val="accent2"/>
                                </a:solidFill>
                                <a:ln w="12700" cap="flat" cmpd="sng">
                                  <a:solidFill>
                                    <a:schemeClr val="lt1"/>
                                  </a:solidFill>
                                  <a:prstDash val="solid"/>
                                  <a:miter lim="800000"/>
                                  <a:headEnd type="none" w="sm" len="sm"/>
                                  <a:tailEnd type="none" w="sm" len="sm"/>
                                </a:ln>
                              </wps:spPr>
                              <wps:txbx>
                                <w:txbxContent>
                                  <w:p w14:paraId="155D8CC6" w14:textId="77777777" w:rsidR="00D065EA" w:rsidRDefault="00D065EA">
                                    <w:pPr>
                                      <w:spacing w:after="0" w:line="240" w:lineRule="auto"/>
                                      <w:textDirection w:val="btLr"/>
                                    </w:pPr>
                                  </w:p>
                                </w:txbxContent>
                              </wps:txbx>
                              <wps:bodyPr spcFirstLastPara="1" wrap="square" lIns="91425" tIns="91425" rIns="91425" bIns="91425" anchor="ctr" anchorCtr="0">
                                <a:noAutofit/>
                              </wps:bodyPr>
                            </wps:wsp>
                            <wps:wsp>
                              <wps:cNvPr id="19" name="19 Rectángulo"/>
                              <wps:cNvSpPr/>
                              <wps:spPr>
                                <a:xfrm flipH="1">
                                  <a:off x="8754" y="13364"/>
                                  <a:ext cx="1440" cy="1440"/>
                                </a:xfrm>
                                <a:prstGeom prst="rect">
                                  <a:avLst/>
                                </a:prstGeom>
                                <a:solidFill>
                                  <a:srgbClr val="BFBFBF">
                                    <a:alpha val="49411"/>
                                  </a:srgbClr>
                                </a:solidFill>
                                <a:ln w="12700" cap="flat" cmpd="sng">
                                  <a:solidFill>
                                    <a:schemeClr val="lt1"/>
                                  </a:solidFill>
                                  <a:prstDash val="solid"/>
                                  <a:miter lim="800000"/>
                                  <a:headEnd type="none" w="sm" len="sm"/>
                                  <a:tailEnd type="none" w="sm" len="sm"/>
                                </a:ln>
                              </wps:spPr>
                              <wps:txbx>
                                <w:txbxContent>
                                  <w:p w14:paraId="114C9538" w14:textId="77777777" w:rsidR="00D065EA" w:rsidRDefault="00D065EA">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14:sizeRelV relativeFrom="margin">
                  <wp14:pctHeight>0</wp14:pctHeight>
                </wp14:sizeRelV>
              </wp:anchor>
            </w:drawing>
          </mc:Choice>
          <mc:Fallback>
            <w:pict>
              <v:group w14:anchorId="4C8A5773" id="574 Grupo" o:spid="_x0000_s1026" style="position:absolute;margin-left:-85.05pt;margin-top:-177pt;width:590.25pt;height:777pt;z-index:251658240;mso-height-relative:margin" coordorigin="15979" coordsize="7496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l1PgYAAIAvAAAOAAAAZHJzL2Uyb0RvYy54bWzsWttu4zYQfS/QfxD0vmtRF+qCOIvm4rTA&#10;og267QfQsmwL0K2kHCef02/ZH+vwIkryOk2tOHbTKgESSZZkzvCcOcMZXnx6zDPjIaEsLYupiT5a&#10;ppEUcblIi9XU/P232YfANFhNigXJyiKZmk8JMz9dfv/dxbaKErtcl9kioQa8pGDRtpqa67quosmE&#10;xeskJ+xjWSUFfLgsaU5qOKWryYKSLbw9zya2ZeHJtqSLipZxwhhcvZEfmpfi/ctlEte/LJcsqY1s&#10;asLYavGXir9z/ndyeUGiFSXVOo3VMMiAUeQkLeBL9atuSE2MDU2/eVWexrRk5bL+GJf5pFwu0zgR&#10;NoA1yNqx5o6Wm0rYsoq2q0q7CVy746fBr41/frinRrqYmp7vmkZBcpgkODTu6KYquXu21SqCu+5o&#10;9aW6p+rCSp5xix+XNOf/wRbjUTj2STs2eayNGC76boiR75lGDJ+FAfZDS7k+XsP88OeQF/ohckyj&#10;fTpe3+573vewBT98bJPm6yd8lHpQ+kSPXtmIGgvRYPv2jHOvlZ1Rkqi1EmPX9gGIYOUHZPmhh0OJ&#10;wb6x2LelswLsBBb+e2OBOawFB3sdOL6sSZUIzDE+7cpxMBoJDdv4FTj19c9itckUPMR9GhssYgCT&#10;PcBAz5re9R/2wDkcJcJwOOnOMokqyuq7pMwNfjA1KYxF0I48fGa1vLW5hQ+hKGdplsF1EmVF7wIg&#10;h18B3DQD5kf14/wR7uaH83LxBMazKp6l8F2fCavvCYXYABjaQryYmuyPDaGJaWQ/FeDzELk2ALzu&#10;ntDuybx7Qop4XUIYimtqGvLkuhZhSY7yh01dLlNhUTsYNVyYbIlrgfddiAOD5Ew5wyH+z2ZqD0Q7&#10;SHcQVij3Xc31hs8IBQiEgc8z8uG3N8u7XD4BvHXkcwfDu7HXtbAkdINqhCBcKVs9CzByckSL8C58&#10;3GLp/QEbyKXUaTCwPRcmWkRejcl2lrxQz5LjCm910Oy54e6TbcBGyAtUuEae4wS9GT4DmoF40lN4&#10;MJr32Nvx1PPWHhyhWZmlCx6kedxjdDW/zqjxQCBbc2c3aDZTvuzdlhXGFgIH6CifMR6Klxmp4TCv&#10;II9hxUpIQu+R3ptn4mffm7l23BC2liMQb+C3kShPa0hTszQHYeLJh4po64QsbouFUT9VkDYVkOGC&#10;OMAQclCFBPJhOBCP1yTNXr7veU0SDLb5u94Fg08Qsf0G4/5gjDshZ7wIB7a9E7QDZIGQCn1y/VCk&#10;aDrXPCLGke9g72YfEodgnK+ZEs2frG5ktceEfzXEnaEQt+1AqKxMv5DjS9GVCZjr+bBUNA2ZgcEZ&#10;P2kyMIgbR82/IK2RwTcYLFN+COgGXDqu1BISNbHXgSRTwhJbWOhMR6OQFcrlk4NhHSXiTqtRdhCC&#10;gHJAe/75lxMgptJJ4WHsNZZZWv3Ic3AelNWK0wbNFf7CLjhA2N34C7mQeyoayyz0LVjsYGyFtlyH&#10;ZNWaSPUQOtFQWwqbWLD22Pj/pLk7lOYnX2SdQMkQIFSSAVnHZINneWdhw5V/fX3r7rLBDV2k9Whk&#10;g6o1yMLbyIa20AQgadiAjsAGrYnnYsOoDburoRdWOSIRH1c5siaPdN0VHVh4fSZTciE95ZmlzhBP&#10;mymN2nAgG/xRGzraoGvbyDmmNpxr3TCy4UA2iBXvqA1KG3TTAh3YtXhGG9Qq2g/h4Ayr6JENB7JB&#10;VCXfARvaDogsX795sxrpVhHyjqATjgvtIFEnDmXlrK3HIQ83ZWIPGprAmreoL1nWlTVrOuFj+ciE&#10;igl4+tXIV4XgPU36nRLxfFiJuI97tT1lt13Pu+Sq+oMPKxgbtIQdEMhS/ahOQRSuqViOoIKsWlVN&#10;ou83zTtVBu4UkAPfk/1RhEJX9Kn5h7dqD44dwKtELdUOvH5HpLWU7/zgE/P2HNcNIHRgB2iv+iEL&#10;TBYk79jeuOw0VeSrGf8d62Zt3/SFSoGsJ746DKia8p4woD5pOkWv2KtzCkLoxhMKjiB6HUI4DhYF&#10;+47svVlbpd/CJHGcFLXoewMWRuWDPQ9HUb7/CuR1GxEdo4/Yyt8pEd/d8jJKwIFLINnnfgcS0GZI&#10;YhOnTga/uQ7bvMUiQm1J5/vIu+fi6Xbj/OVfAAAA//8DAFBLAwQUAAYACAAAACEAEyBgmuIAAAAP&#10;AQAADwAAAGRycy9kb3ducmV2LnhtbEyPQWvCQBCF74X+h2UKvenuVm1Lmo2ItD1JoVoQb2MyJsHs&#10;bsiuSfz3HU/t7Q3zeO976XK0jeipC7V3BvRUgSCX+6J2pYGf3cfkFUSI6ApsvCMDVwqwzO7vUkwK&#10;P7hv6rexFBziQoIGqhjbRMqQV2QxTH1Ljn8n31mMfHalLDocONw28kmpZ2mxdtxQYUvrivLz9mIN&#10;fA44rGb6vd+cT+vrYbf42m80GfP4MK7eQEQa458ZbviMDhkzHf3FFUE0Bib6RWn2spot5jzr5lFa&#10;zUEcWXG5Apml8v+O7BcAAP//AwBQSwECLQAUAAYACAAAACEAtoM4kv4AAADhAQAAEwAAAAAAAAAA&#10;AAAAAAAAAAAAW0NvbnRlbnRfVHlwZXNdLnhtbFBLAQItABQABgAIAAAAIQA4/SH/1gAAAJQBAAAL&#10;AAAAAAAAAAAAAAAAAC8BAABfcmVscy8ucmVsc1BLAQItABQABgAIAAAAIQCveEl1PgYAAIAvAAAO&#10;AAAAAAAAAAAAAAAAAC4CAABkcnMvZTJvRG9jLnhtbFBLAQItABQABgAIAAAAIQATIGCa4gAAAA8B&#10;AAAPAAAAAAAAAAAAAAAAAJgIAABkcnMvZG93bnJldi54bWxQSwUGAAAAAAQABADzAAAApwkAAAAA&#10;">
                <v:group id="1 Grupo" o:spid="_x0000_s1027" style="position:absolute;left:15979;width:74961;height:75600" coordorigin="16642,-10795" coordsize="74966,8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2 Rectángulo" o:spid="_x0000_s1028" style="position:absolute;left:16642;top:-10795;width:74967;height:86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1CD00675" w14:textId="77777777" w:rsidR="00D065EA" w:rsidRDefault="00D065EA">
                          <w:pPr>
                            <w:spacing w:after="0" w:line="240" w:lineRule="auto"/>
                            <w:textDirection w:val="btLr"/>
                          </w:pPr>
                        </w:p>
                      </w:txbxContent>
                    </v:textbox>
                  </v:rect>
                  <v:group id="3 Grupo" o:spid="_x0000_s1029" style="position:absolute;left:16642;top:-10795;width:74967;height:86379" coordorigin="316,-1740" coordsize="11818,17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4 Rectángulo" o:spid="_x0000_s1030" style="position:absolute;left:316;top:406;width:11600;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14:paraId="23D46444" w14:textId="77777777" w:rsidR="00D065EA" w:rsidRDefault="00D065EA">
                            <w:pPr>
                              <w:spacing w:after="0" w:line="240" w:lineRule="auto"/>
                              <w:textDirection w:val="btLr"/>
                            </w:pPr>
                          </w:p>
                        </w:txbxContent>
                      </v:textbox>
                    </v:rect>
                    <v:group id="5 Grupo" o:spid="_x0000_s1031" style="position:absolute;left:544;top:-1740;width:11590;height:15341" coordorigin="549,-1740" coordsize="11582,15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6 Rectángulo" o:spid="_x0000_s1032" style="position:absolute;left:549;top:-1740;width:11582;height:15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LNsAA&#10;AADaAAAADwAAAGRycy9kb3ducmV2LnhtbESPQYvCMBSE7wv+h/AEb2uqiGg1igiiyF6s4vnRPNtq&#10;81KaqLW/fiMIHoeZ+YaZLxtTigfVrrCsYNCPQBCnVhecKTgdN78TEM4jaywtk4IXOVguOj9zjLV9&#10;8oEeic9EgLCLUUHufRVL6dKcDLq+rYiDd7G1QR9knUld4zPATSmHUTSWBgsOCzlWtM4pvSV3o+Cq&#10;z4d21KR73jqd/A2pndqqVarXbVYzEJ4a/w1/2jutYAzvK+EG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RLNsAAAADaAAAADwAAAAAAAAAAAAAAAACYAgAAZHJzL2Rvd25y&#10;ZXYueG1sUEsFBgAAAAAEAAQA9QAAAIUDAAAAAA==&#10;" fillcolor="#4fd1ff" strokecolor="white" strokeweight="1pt">
                        <v:stroke startarrowwidth="narrow" startarrowlength="short" endarrowwidth="narrow" endarrowlength="short"/>
                        <v:textbox inset="2.53958mm,2.53958mm,2.53958mm,2.53958mm">
                          <w:txbxContent>
                            <w:p w14:paraId="66796FDC" w14:textId="77777777" w:rsidR="00D065EA" w:rsidRDefault="00D065EA">
                              <w:pPr>
                                <w:spacing w:after="0" w:line="240" w:lineRule="auto"/>
                                <w:textDirection w:val="btLr"/>
                              </w:pPr>
                            </w:p>
                          </w:txbxContent>
                        </v:textbox>
                      </v:rect>
                      <v:rect id="7 Rectángulo" o:spid="_x0000_s1033" style="position:absolute;left:3990;top:-1226;width:8103;height:14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sdsIA&#10;AADaAAAADwAAAGRycy9kb3ducmV2LnhtbESPX0vDQBDE3wW/w7GCb/ZisdWkuRYRBPtgoam+L7nN&#10;H5rbC7m1F7+9Jwg+DjPzG6bczW5QF5pC79nA/SIDRVx723Nr4OP0evcEKgiyxcEzGfimALvt9VWJ&#10;hfWRj3SppFUJwqFAA53IWGgd6o4choUfiZPX+MmhJDm12k4YE9wNeplla+2w57TQ4UgvHdXn6ssZ&#10;OO3DZ9Os8ijVsn4/Ng/xkEs05vZmft6AEprlP/zXfrMGHuH3SroB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ax2wgAAANoAAAAPAAAAAAAAAAAAAAAAAJgCAABkcnMvZG93&#10;bnJldi54bWxQSwUGAAAAAAQABAD1AAAAhwMAAAAA&#10;" fillcolor="#17365d" strokecolor="white [3201]" strokeweight="1pt">
                        <v:stroke startarrowwidth="narrow" startarrowlength="short" endarrowwidth="narrow" endarrowlength="short"/>
                        <v:textbox inset="18pt,108pt,36pt,1.2694mm">
                          <w:txbxContent>
                            <w:p w14:paraId="38C9345A" w14:textId="77777777" w:rsidR="00D065EA" w:rsidRDefault="00D065EA">
                              <w:pPr>
                                <w:spacing w:after="0" w:line="240" w:lineRule="auto"/>
                                <w:jc w:val="center"/>
                                <w:textDirection w:val="btLr"/>
                              </w:pPr>
                              <w:r>
                                <w:rPr>
                                  <w:rFonts w:ascii="Arial" w:eastAsia="Arial" w:hAnsi="Arial" w:cs="Arial"/>
                                  <w:color w:val="FFFFFF"/>
                                  <w:sz w:val="80"/>
                                </w:rPr>
                                <w:t>Informe de Diagnóstico Sectorial</w:t>
                              </w:r>
                            </w:p>
                            <w:p w14:paraId="19EA3957" w14:textId="77777777" w:rsidR="00D065EA" w:rsidRDefault="00D065EA" w:rsidP="00B22423">
                              <w:pPr>
                                <w:spacing w:after="0" w:line="240" w:lineRule="auto"/>
                                <w:jc w:val="center"/>
                                <w:textDirection w:val="btLr"/>
                              </w:pPr>
                              <w:r>
                                <w:rPr>
                                  <w:rFonts w:ascii="Arial" w:eastAsia="Arial" w:hAnsi="Arial" w:cs="Arial"/>
                                  <w:color w:val="FFFFFF"/>
                                  <w:sz w:val="40"/>
                                </w:rPr>
                                <w:t>Secretaria Distrital de Desarrollo Económico</w:t>
                              </w:r>
                            </w:p>
                            <w:p w14:paraId="49A66D83" w14:textId="77777777" w:rsidR="00D065EA" w:rsidRDefault="00D065EA">
                              <w:pPr>
                                <w:spacing w:after="0" w:line="240" w:lineRule="auto"/>
                                <w:textDirection w:val="btLr"/>
                              </w:pPr>
                            </w:p>
                            <w:p w14:paraId="10C40931" w14:textId="77777777" w:rsidR="00D065EA" w:rsidRDefault="00D065EA" w:rsidP="006602E4">
                              <w:pPr>
                                <w:spacing w:after="0" w:line="240" w:lineRule="auto"/>
                                <w:jc w:val="both"/>
                                <w:textDirection w:val="btLr"/>
                              </w:pPr>
                              <w:r>
                                <w:rPr>
                                  <w:rFonts w:ascii="Arial" w:eastAsia="Arial" w:hAnsi="Arial" w:cs="Arial"/>
                                  <w:color w:val="FFFFFF"/>
                                  <w:sz w:val="36"/>
                                </w:rPr>
                                <w:t xml:space="preserve">El presente Informe contiene un análisis detallado de cada una de las problemáticas presentes en el sector de Desarrollo Económico de Bogotá (SDDE, IPES e IDT) y cómo estas han sido abordadas.  De la misma forma, dentro del documento se exponen cifras, datos y gráficas que soportan la información y que a su vez proveen una línea base al año 2019 para el gobierno entrante.  </w:t>
                              </w:r>
                            </w:p>
                          </w:txbxContent>
                        </v:textbox>
                      </v:rect>
                      <v:group id="8 Grupo" o:spid="_x0000_s1034" style="position:absolute;left:797;top:3438;width:3142;height:6068" coordorigin="1093,3613" coordsize="2895,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9 Rectángulo" o:spid="_x0000_s1035" style="position:absolute;left:2533;top:6493;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X4sQA&#10;AADaAAAADwAAAGRycy9kb3ducmV2LnhtbESPQWvCQBSE74L/YXmF3nTTHqSmriKCbT0oNmlDj4/s&#10;axKafRuyr5r+e1cQehxm5htmsRpcq07Uh8azgYdpAoq49LbhysBHvp08gQqCbLH1TAb+KMBqOR4t&#10;MLX+zO90yqRSEcIhRQO1SJdqHcqaHIap74ij9+17hxJlX2nb4znCXasfk2SmHTYcF2rsaFNT+ZP9&#10;OgMv+eFrtn4Nx7z4lJ0UQ5Pti40x93fD+hmU0CD/4Vv7zRqYw/VKvAF6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h1+LEAAAA2gAAAA8AAAAAAAAAAAAAAAAAmAIAAGRycy9k&#10;b3ducmV2LnhtbFBLBQYAAAAABAAEAPUAAACJAwAAAAA=&#10;" fillcolor="#366092" strokecolor="white [3201]" strokeweight="1pt">
                          <v:fill opacity="52428f"/>
                          <v:stroke startarrowwidth="narrow" startarrowlength="short" endarrowwidth="narrow" endarrowlength="short"/>
                          <v:textbox inset="2.53958mm,2.53958mm,2.53958mm,2.53958mm">
                            <w:txbxContent>
                              <w:p w14:paraId="09ADC1A5" w14:textId="77777777" w:rsidR="00D065EA" w:rsidRDefault="00D065EA">
                                <w:pPr>
                                  <w:spacing w:after="0" w:line="240" w:lineRule="auto"/>
                                  <w:textDirection w:val="btLr"/>
                                </w:pPr>
                              </w:p>
                            </w:txbxContent>
                          </v:textbox>
                        </v:rect>
                        <v:rect id="10 Rectángulo" o:spid="_x0000_s1036" style="position:absolute;left:2533;top:5053;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IgsYA&#10;AADbAAAADwAAAGRycy9kb3ducmV2LnhtbESPQWvCQBCF74X+h2UKvRTd1INIdBUptBRKK40ieBuz&#10;YxKbnQ27W5P+e+dQ8DbDe/PeN4vV4Fp1oRAbzwaexxko4tLbhisDu+3raAYqJmSLrWcy8EcRVsv7&#10;uwXm1vf8TZciVUpCOOZooE6py7WOZU0O49h3xKKdfHCYZA2VtgF7CXetnmTZVDtsWBpq7OilpvKn&#10;+HUGpvtJ93XcnPGtP+2zw24Wnj6LD2MeH4b1HFSiId3M/9fvVvCFXn6RA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3IgsYAAADbAAAADwAAAAAAAAAAAAAAAACYAgAAZHJz&#10;L2Rvd25yZXYueG1sUEsFBgAAAAAEAAQA9QAAAIsDAAAAAA==&#10;" fillcolor="#b7cce4" strokecolor="white [3201]" strokeweight="1pt">
                          <v:fill opacity="32382f"/>
                          <v:stroke startarrowwidth="narrow" startarrowlength="short" endarrowwidth="narrow" endarrowlength="short"/>
                          <v:textbox inset="2.53958mm,2.53958mm,2.53958mm,2.53958mm">
                            <w:txbxContent>
                              <w:p w14:paraId="67230D27" w14:textId="77777777" w:rsidR="00D065EA" w:rsidRDefault="00D065EA">
                                <w:pPr>
                                  <w:spacing w:after="0" w:line="240" w:lineRule="auto"/>
                                  <w:textDirection w:val="btLr"/>
                                </w:pPr>
                              </w:p>
                            </w:txbxContent>
                          </v:textbox>
                        </v:rect>
                        <v:rect id="11 Rectángulo" o:spid="_x0000_s1037" style="position:absolute;left:1093;top:5053;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SMIA&#10;AADbAAAADwAAAGRycy9kb3ducmV2LnhtbERPTWvCQBC9C/0PyxR6040eRFJXEaFqDxWbtKHHITtN&#10;QrOzITvV+O9dodDbPN7nLNeDa9WZ+tB4NjCdJKCIS28brgx85C/jBaggyBZbz2TgSgHWq4fRElPr&#10;L/xO50wqFUM4pGigFulSrUNZk8Mw8R1x5L5971Ai7Ctte7zEcNfqWZLMtcOGY0ONHW1rKn+yX2dg&#10;lx+/5pt9OOXFp7xKMTTZW7E15ulx2DyDEhrkX/znPtg4fwr3X+IB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6RIwgAAANsAAAAPAAAAAAAAAAAAAAAAAJgCAABkcnMvZG93&#10;bnJldi54bWxQSwUGAAAAAAQABAD1AAAAhwMAAAAA&#10;" fillcolor="#366092" strokecolor="white [3201]" strokeweight="1pt">
                          <v:fill opacity="52428f"/>
                          <v:stroke startarrowwidth="narrow" startarrowlength="short" endarrowwidth="narrow" endarrowlength="short"/>
                          <v:textbox inset="2.53958mm,2.53958mm,2.53958mm,2.53958mm">
                            <w:txbxContent>
                              <w:p w14:paraId="468FCFD2" w14:textId="77777777" w:rsidR="00D065EA" w:rsidRDefault="00D065EA">
                                <w:pPr>
                                  <w:spacing w:after="0" w:line="240" w:lineRule="auto"/>
                                  <w:textDirection w:val="btLr"/>
                                </w:pPr>
                              </w:p>
                            </w:txbxContent>
                          </v:textbox>
                        </v:rect>
                        <v:rect id="12 Rectángulo" o:spid="_x0000_s1038" style="position:absolute;left:2548;top:3613;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PzbsMA&#10;AADbAAAADwAAAGRycy9kb3ducmV2LnhtbERPTWvCQBC9F/oflil4KbppDiLRVaTQIkgrjSJ4G7Nj&#10;Es3Oht3VpP++KxS8zeN9zmzRm0bcyPnasoK3UQKCuLC65lLBbvsxnIDwAVljY5kU/JKHxfz5aYaZ&#10;th3/0C0PpYgh7DNUUIXQZlL6oiKDfmRb4sidrDMYInSl1A67GG4amSbJWBqsOTZU2NJ7RcUlvxoF&#10;433afh83Z/zsTvvksJu41698rdTgpV9OQQTqw0P8717pOD+F+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PzbsMAAADbAAAADwAAAAAAAAAAAAAAAACYAgAAZHJzL2Rv&#10;d25yZXYueG1sUEsFBgAAAAAEAAQA9QAAAIgDAAAAAA==&#10;" fillcolor="#b7cce4" strokecolor="white [3201]" strokeweight="1pt">
                          <v:fill opacity="32382f"/>
                          <v:stroke startarrowwidth="narrow" startarrowlength="short" endarrowwidth="narrow" endarrowlength="short"/>
                          <v:textbox inset="2.53958mm,2.53958mm,2.53958mm,2.53958mm">
                            <w:txbxContent>
                              <w:p w14:paraId="1067C7EF" w14:textId="77777777" w:rsidR="00D065EA" w:rsidRDefault="00D065EA">
                                <w:pPr>
                                  <w:spacing w:after="0" w:line="240" w:lineRule="auto"/>
                                  <w:textDirection w:val="btLr"/>
                                </w:pPr>
                              </w:p>
                            </w:txbxContent>
                          </v:textbox>
                        </v:rect>
                        <v:rect id="13 Rectángulo" o:spid="_x0000_s1039" style="position:absolute;left:1093;top:6493;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9W9cMA&#10;AADbAAAADwAAAGRycy9kb3ducmV2LnhtbERP32vCMBB+H/g/hBN8GZrqQKQzigwmgsyxKsLebs3Z&#10;djaXkkRb/3sjDPZ2H9/Pmy87U4srOV9ZVjAeJSCIc6srLhQc9u/DGQgfkDXWlknBjTwsF72nOaba&#10;tvxF1ywUIoawT1FBGUKTSunzkgz6kW2II3eyzmCI0BVSO2xjuKnlJEmm0mDFsaHEht5Kys/ZxSiY&#10;HifN7ufzF9ft6Zh8H2bu+SPbKjXod6tXEIG68C/+c290nP8Cj1/i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9W9cMAAADbAAAADwAAAAAAAAAAAAAAAACYAgAAZHJzL2Rv&#10;d25yZXYueG1sUEsFBgAAAAAEAAQA9QAAAIgDAAAAAA==&#10;" fillcolor="#b7cce4" strokecolor="white [3201]" strokeweight="1pt">
                          <v:fill opacity="32382f"/>
                          <v:stroke startarrowwidth="narrow" startarrowlength="short" endarrowwidth="narrow" endarrowlength="short"/>
                          <v:textbox inset="2.53958mm,2.53958mm,2.53958mm,2.53958mm">
                            <w:txbxContent>
                              <w:p w14:paraId="27ADEF09" w14:textId="77777777" w:rsidR="00D065EA" w:rsidRDefault="00D065EA">
                                <w:pPr>
                                  <w:spacing w:after="0" w:line="240" w:lineRule="auto"/>
                                  <w:textDirection w:val="btLr"/>
                                </w:pPr>
                              </w:p>
                            </w:txbxContent>
                          </v:textbox>
                        </v:rect>
                        <v:rect id="14 Rectángulo" o:spid="_x0000_s1040" style="position:absolute;left:2533;top:7933;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OgcMA&#10;AADbAAAADwAAAGRycy9kb3ducmV2LnhtbERP32vCMBB+H/g/hBN8GZoqQ6QzigwmgsyxKsLebs3Z&#10;djaXkkRb/3sjDPZ2H9/Pmy87U4srOV9ZVjAeJSCIc6srLhQc9u/DGQgfkDXWlknBjTwsF72nOaba&#10;tvxF1ywUIoawT1FBGUKTSunzkgz6kW2II3eyzmCI0BVSO2xjuKnlJEmm0mDFsaHEht5Kys/ZxSiY&#10;HifN7ufzF9ft6Zh8H2bu+SPbKjXod6tXEIG68C/+c290nP8Cj1/i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bOgcMAAADbAAAADwAAAAAAAAAAAAAAAACYAgAAZHJzL2Rv&#10;d25yZXYueG1sUEsFBgAAAAAEAAQA9QAAAIgDAAAAAA==&#10;" fillcolor="#b7cce4" strokecolor="white [3201]" strokeweight="1pt">
                          <v:fill opacity="32382f"/>
                          <v:stroke startarrowwidth="narrow" startarrowlength="short" endarrowwidth="narrow" endarrowlength="short"/>
                          <v:textbox inset="2.53958mm,2.53958mm,2.53958mm,2.53958mm">
                            <w:txbxContent>
                              <w:p w14:paraId="68DB5F5D" w14:textId="77777777" w:rsidR="00D065EA" w:rsidRDefault="00D065EA">
                                <w:pPr>
                                  <w:spacing w:after="0" w:line="240" w:lineRule="auto"/>
                                  <w:textDirection w:val="btLr"/>
                                </w:pPr>
                              </w:p>
                            </w:txbxContent>
                          </v:textbox>
                        </v:rect>
                      </v:group>
                      <v:rect id="15 Rectángulo" o:spid="_x0000_s1041" style="position:absolute;left:3441;top:-960;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oa8EA&#10;AADbAAAADwAAAGRycy9kb3ducmV2LnhtbERPTWvCQBC9F/oflil4KbrREjHRVYogWKEH0+J5yI7Z&#10;2OxsyK4a/70rCL3N433OYtXbRlyo87VjBeNRAoK4dLrmSsHvz2Y4A+EDssbGMSm4kYfV8vVlgbl2&#10;V97TpQiViCHsc1RgQmhzKX1pyKIfuZY4ckfXWQwRdpXUHV5juG3kJEmm0mLNscFgS2tD5V9xtgre&#10;v1MzaXR62h2yryxr6WNbpKzU4K3/nIMI1Id/8dO91XF+Co9f4g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9aGvBAAAA2wAAAA8AAAAAAAAAAAAAAAAAmAIAAGRycy9kb3du&#10;cmV2LnhtbFBLBQYAAAAABAAEAPUAAACGAwAAAAA=&#10;" fillcolor="#00b0f0" strokecolor="white [3201]" strokeweight="1pt">
                        <v:stroke startarrowwidth="narrow" startarrowlength="short" endarrowwidth="narrow" endarrowlength="short"/>
                        <v:textbox inset="2.53958mm,1.2694mm,2.53958mm,1.2694mm">
                          <w:txbxContent>
                            <w:p w14:paraId="1CB0F2C7" w14:textId="77777777" w:rsidR="00D065EA" w:rsidRDefault="00D065EA">
                              <w:pPr>
                                <w:spacing w:line="275" w:lineRule="auto"/>
                                <w:jc w:val="center"/>
                                <w:textDirection w:val="btLr"/>
                              </w:pPr>
                              <w:r>
                                <w:rPr>
                                  <w:color w:val="FFFFFF"/>
                                  <w:sz w:val="52"/>
                                </w:rPr>
                                <w:t>2019</w:t>
                              </w:r>
                            </w:p>
                          </w:txbxContent>
                        </v:textbox>
                      </v:rect>
                    </v:group>
                    <v:group id="16 Grupo" o:spid="_x0000_s1042" style="position:absolute;left:10833;top:14380;width:782;height:760;rotation:180"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s1Nr8AAADbAAAADwAAAGRycy9kb3ducmV2LnhtbERPS4vCMBC+C/sfwizs&#10;TVNdFalGkQWxJ8EHeB2asak2k5JktfvvN4LgbT6+5yxWnW3EnXyoHSsYDjIQxKXTNVcKTsdNfwYi&#10;RGSNjWNS8EcBVsuP3gJz7R68p/shViKFcMhRgYmxzaUMpSGLYeBa4sRdnLcYE/SV1B4fKdw2cpRl&#10;U2mx5tRgsKUfQ+Xt8GsV6HH4PlFRrP1odz1O6snWVJezUl+f3XoOIlIX3+KXu9Bp/hSev6QD5PIf&#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BarNTa/AAAA2wAAAA8AAAAA&#10;AAAAAAAAAAAAqgIAAGRycy9kb3ducmV2LnhtbFBLBQYAAAAABAAEAPoAAACWAwAAAAA=&#10;">
                      <v:rect id="17 Rectángulo" o:spid="_x0000_s1043"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hm8QA&#10;AADbAAAADwAAAGRycy9kb3ducmV2LnhtbESP3WrCQBCF74W+wzKCd7oxF7akriJCarAUGvUBhuw0&#10;CWZnQ3bz49u7hULvZjjnfHNmu59MIwbqXG1ZwXoVgSAurK65VHC7pss3EM4ja2wsk4IHOdjvXmZb&#10;TLQdOafh4ksRIOwSVFB53yZSuqIig25lW+Kg/djOoA9rV0rd4RjgppFxFG2kwZrDhQpbOlZU3C+9&#10;CZSv9GM4xHr9fWr64/kzz8qCM6UW8+nwDsLT5P/Nf+lMh/qv8PtLGE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4IZvEAAAA2wAAAA8AAAAAAAAAAAAAAAAAmAIAAGRycy9k&#10;b3ducmV2LnhtbFBLBQYAAAAABAAEAPUAAACJAwAAAAA=&#10;" fillcolor="#bfbfbf" strokecolor="white [3201]" strokeweight="1pt">
                        <v:fill opacity="32382f"/>
                        <v:stroke startarrowwidth="narrow" startarrowlength="short" endarrowwidth="narrow" endarrowlength="short"/>
                        <v:textbox inset="2.53958mm,2.53958mm,2.53958mm,2.53958mm">
                          <w:txbxContent>
                            <w:p w14:paraId="00A22DDD" w14:textId="77777777" w:rsidR="00D065EA" w:rsidRDefault="00D065EA">
                              <w:pPr>
                                <w:spacing w:after="0" w:line="240" w:lineRule="auto"/>
                                <w:textDirection w:val="btLr"/>
                              </w:pPr>
                            </w:p>
                          </w:txbxContent>
                        </v:textbox>
                      </v:rect>
                      <v:rect id="18 Rectángulo" o:spid="_x0000_s1044"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I3McA&#10;AADbAAAADwAAAGRycy9kb3ducmV2LnhtbESP3WrCQBCF7wu+wzJCb0rd2EIJqauIqeAPvajmAYbs&#10;NInNzqbZVdO3dy6E3s1wzpzzzWwxuFZdqA+NZwPTSQKKuPS24cpAcVw/p6BCRLbYeiYDfxRgMR89&#10;zDCz/spfdDnESkkIhwwN1DF2mdahrMlhmPiOWLRv3zuMsvaVtj1eJdy1+iVJ3rTDhqWhxo5WNZU/&#10;h7MzsHs6r/ZtWbwW6cfvNs8/T+v8eDLmcTws30FFGuK/+X69sYIvsPKLD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RyNzHAAAA2wAAAA8AAAAAAAAAAAAAAAAAmAIAAGRy&#10;cy9kb3ducmV2LnhtbFBLBQYAAAAABAAEAPUAAACMAwAAAAA=&#10;" fillcolor="#c0504d [3205]" strokecolor="white [3201]" strokeweight="1pt">
                        <v:stroke startarrowwidth="narrow" startarrowlength="short" endarrowwidth="narrow" endarrowlength="short"/>
                        <v:textbox inset="2.53958mm,2.53958mm,2.53958mm,2.53958mm">
                          <w:txbxContent>
                            <w:p w14:paraId="155D8CC6" w14:textId="77777777" w:rsidR="00D065EA" w:rsidRDefault="00D065EA">
                              <w:pPr>
                                <w:spacing w:after="0" w:line="240" w:lineRule="auto"/>
                                <w:textDirection w:val="btLr"/>
                              </w:pPr>
                            </w:p>
                          </w:txbxContent>
                        </v:textbox>
                      </v:rect>
                      <v:rect id="19 Rectángulo" o:spid="_x0000_s1045"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QcsQA&#10;AADbAAAADwAAAGRycy9kb3ducmV2LnhtbESP3WrCQBCF74W+wzKCd7oxF9KmriJCarAUGvUBhuw0&#10;CWZnQ3bz49u7hULvZjjnfHNmu59MIwbqXG1ZwXoVgSAurK65VHC7pstXEM4ja2wsk4IHOdjvXmZb&#10;TLQdOafh4ksRIOwSVFB53yZSuqIig25lW+Kg/djOoA9rV0rd4RjgppFxFG2kwZrDhQpbOlZU3C+9&#10;CZSv9GM4xHr9fWr64/kzz8qCM6UW8+nwDsLT5P/Nf+lMh/pv8PtLGE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EHLEAAAA2wAAAA8AAAAAAAAAAAAAAAAAmAIAAGRycy9k&#10;b3ducmV2LnhtbFBLBQYAAAAABAAEAPUAAACJAwAAAAA=&#10;" fillcolor="#bfbfbf" strokecolor="white [3201]" strokeweight="1pt">
                        <v:fill opacity="32382f"/>
                        <v:stroke startarrowwidth="narrow" startarrowlength="short" endarrowwidth="narrow" endarrowlength="short"/>
                        <v:textbox inset="2.53958mm,2.53958mm,2.53958mm,2.53958mm">
                          <w:txbxContent>
                            <w:p w14:paraId="114C9538" w14:textId="77777777" w:rsidR="00D065EA" w:rsidRDefault="00D065EA">
                              <w:pPr>
                                <w:spacing w:after="0" w:line="240" w:lineRule="auto"/>
                                <w:textDirection w:val="btLr"/>
                              </w:pPr>
                            </w:p>
                          </w:txbxContent>
                        </v:textbox>
                      </v:rect>
                    </v:group>
                  </v:group>
                </v:group>
              </v:group>
            </w:pict>
          </mc:Fallback>
        </mc:AlternateContent>
      </w:r>
      <w:r>
        <w:t xml:space="preserve"> </w:t>
      </w:r>
    </w:p>
    <w:p w14:paraId="2E6FFFE8" w14:textId="77777777" w:rsidR="000A7CAF" w:rsidRDefault="000A7CAF"/>
    <w:p w14:paraId="19B93642" w14:textId="77777777" w:rsidR="000A7CAF" w:rsidRDefault="006602E4">
      <w:r>
        <w:br w:type="page"/>
      </w:r>
    </w:p>
    <w:p w14:paraId="716346AF" w14:textId="032B76EA" w:rsidR="000A7CAF" w:rsidRDefault="006602E4">
      <w:r>
        <w:rPr>
          <w:noProof/>
        </w:rPr>
        <w:lastRenderedPageBreak/>
        <mc:AlternateContent>
          <mc:Choice Requires="wpg">
            <w:drawing>
              <wp:anchor distT="0" distB="0" distL="114300" distR="114300" simplePos="0" relativeHeight="251659264" behindDoc="0" locked="0" layoutInCell="1" hidden="0" allowOverlap="1" wp14:anchorId="1209180E" wp14:editId="2DE696B5">
                <wp:simplePos x="0" y="0"/>
                <wp:positionH relativeFrom="column">
                  <wp:posOffset>-838199</wp:posOffset>
                </wp:positionH>
                <wp:positionV relativeFrom="paragraph">
                  <wp:posOffset>12700</wp:posOffset>
                </wp:positionV>
                <wp:extent cx="1979437" cy="8853805"/>
                <wp:effectExtent l="0" t="0" r="0" b="0"/>
                <wp:wrapNone/>
                <wp:docPr id="573" name="573 Grupo"/>
                <wp:cNvGraphicFramePr/>
                <a:graphic xmlns:a="http://schemas.openxmlformats.org/drawingml/2006/main">
                  <a:graphicData uri="http://schemas.microsoft.com/office/word/2010/wordprocessingGroup">
                    <wpg:wgp>
                      <wpg:cNvGrpSpPr/>
                      <wpg:grpSpPr>
                        <a:xfrm>
                          <a:off x="0" y="0"/>
                          <a:ext cx="1979437" cy="8853805"/>
                          <a:chOff x="4356282" y="0"/>
                          <a:chExt cx="1979437" cy="7560000"/>
                        </a:xfrm>
                      </wpg:grpSpPr>
                      <wpg:grpSp>
                        <wpg:cNvPr id="20" name="20 Grupo"/>
                        <wpg:cNvGrpSpPr/>
                        <wpg:grpSpPr>
                          <a:xfrm>
                            <a:off x="4356282" y="0"/>
                            <a:ext cx="1979437" cy="7560000"/>
                            <a:chOff x="4356282" y="0"/>
                            <a:chExt cx="1979437" cy="7560000"/>
                          </a:xfrm>
                        </wpg:grpSpPr>
                        <wps:wsp>
                          <wps:cNvPr id="21" name="21 Rectángulo"/>
                          <wps:cNvSpPr/>
                          <wps:spPr>
                            <a:xfrm>
                              <a:off x="4356282" y="0"/>
                              <a:ext cx="1979425" cy="7560000"/>
                            </a:xfrm>
                            <a:prstGeom prst="rect">
                              <a:avLst/>
                            </a:prstGeom>
                            <a:noFill/>
                            <a:ln>
                              <a:noFill/>
                            </a:ln>
                          </wps:spPr>
                          <wps:txbx>
                            <w:txbxContent>
                              <w:p w14:paraId="5F9228BE" w14:textId="77777777" w:rsidR="00D065EA" w:rsidRDefault="00D065EA">
                                <w:pPr>
                                  <w:spacing w:after="0" w:line="240" w:lineRule="auto"/>
                                  <w:textDirection w:val="btLr"/>
                                </w:pPr>
                              </w:p>
                            </w:txbxContent>
                          </wps:txbx>
                          <wps:bodyPr spcFirstLastPara="1" wrap="square" lIns="91425" tIns="91425" rIns="91425" bIns="91425" anchor="ctr" anchorCtr="0">
                            <a:noAutofit/>
                          </wps:bodyPr>
                        </wps:wsp>
                        <wpg:grpSp>
                          <wpg:cNvPr id="22" name="22 Grupo"/>
                          <wpg:cNvGrpSpPr/>
                          <wpg:grpSpPr>
                            <a:xfrm>
                              <a:off x="4356282" y="0"/>
                              <a:ext cx="1979437" cy="7560000"/>
                              <a:chOff x="0" y="-152400"/>
                              <a:chExt cx="1979437" cy="9540236"/>
                            </a:xfrm>
                          </wpg:grpSpPr>
                          <wps:wsp>
                            <wps:cNvPr id="23" name="23 Rectángulo"/>
                            <wps:cNvSpPr/>
                            <wps:spPr>
                              <a:xfrm>
                                <a:off x="0" y="-152400"/>
                                <a:ext cx="1979425" cy="9540225"/>
                              </a:xfrm>
                              <a:prstGeom prst="rect">
                                <a:avLst/>
                              </a:prstGeom>
                              <a:noFill/>
                              <a:ln>
                                <a:noFill/>
                              </a:ln>
                            </wps:spPr>
                            <wps:txbx>
                              <w:txbxContent>
                                <w:p w14:paraId="64E27F3D" w14:textId="77777777" w:rsidR="00D065EA" w:rsidRDefault="00D065EA">
                                  <w:pPr>
                                    <w:spacing w:after="0" w:line="240" w:lineRule="auto"/>
                                    <w:textDirection w:val="btLr"/>
                                  </w:pPr>
                                </w:p>
                              </w:txbxContent>
                            </wps:txbx>
                            <wps:bodyPr spcFirstLastPara="1" wrap="square" lIns="91425" tIns="91425" rIns="91425" bIns="91425" anchor="ctr" anchorCtr="0">
                              <a:noAutofit/>
                            </wps:bodyPr>
                          </wps:wsp>
                          <wps:wsp>
                            <wps:cNvPr id="24" name="24 Rectángulo"/>
                            <wps:cNvSpPr/>
                            <wps:spPr>
                              <a:xfrm>
                                <a:off x="0" y="-152400"/>
                                <a:ext cx="1979295" cy="9540236"/>
                              </a:xfrm>
                              <a:prstGeom prst="rect">
                                <a:avLst/>
                              </a:prstGeom>
                              <a:solidFill>
                                <a:srgbClr val="4FD1FF"/>
                              </a:solidFill>
                              <a:ln w="12700" cap="flat" cmpd="sng">
                                <a:solidFill>
                                  <a:srgbClr val="FFFFFF"/>
                                </a:solidFill>
                                <a:prstDash val="solid"/>
                                <a:miter lim="800000"/>
                                <a:headEnd type="none" w="sm" len="sm"/>
                                <a:tailEnd type="none" w="sm" len="sm"/>
                              </a:ln>
                            </wps:spPr>
                            <wps:txbx>
                              <w:txbxContent>
                                <w:p w14:paraId="688CBE2C" w14:textId="77777777" w:rsidR="00D065EA" w:rsidRDefault="00D065EA">
                                  <w:pPr>
                                    <w:spacing w:after="0" w:line="240" w:lineRule="auto"/>
                                    <w:textDirection w:val="btLr"/>
                                  </w:pPr>
                                </w:p>
                              </w:txbxContent>
                            </wps:txbx>
                            <wps:bodyPr spcFirstLastPara="1" wrap="square" lIns="91425" tIns="91425" rIns="91425" bIns="91425" anchor="ctr" anchorCtr="0">
                              <a:noAutofit/>
                            </wps:bodyPr>
                          </wps:wsp>
                          <wps:wsp>
                            <wps:cNvPr id="25" name="25 Rectángulo"/>
                            <wps:cNvSpPr/>
                            <wps:spPr>
                              <a:xfrm flipH="1">
                                <a:off x="986590" y="2887579"/>
                                <a:ext cx="992847" cy="963230"/>
                              </a:xfrm>
                              <a:prstGeom prst="rect">
                                <a:avLst/>
                              </a:prstGeom>
                              <a:solidFill>
                                <a:srgbClr val="B7CCE4">
                                  <a:alpha val="49411"/>
                                </a:srgbClr>
                              </a:solidFill>
                              <a:ln w="12700" cap="flat" cmpd="sng">
                                <a:solidFill>
                                  <a:schemeClr val="lt1"/>
                                </a:solidFill>
                                <a:prstDash val="solid"/>
                                <a:miter lim="800000"/>
                                <a:headEnd type="none" w="sm" len="sm"/>
                                <a:tailEnd type="none" w="sm" len="sm"/>
                              </a:ln>
                            </wps:spPr>
                            <wps:txbx>
                              <w:txbxContent>
                                <w:p w14:paraId="18D75CA4" w14:textId="77777777" w:rsidR="00D065EA" w:rsidRDefault="00D065EA">
                                  <w:pPr>
                                    <w:spacing w:after="0" w:line="240" w:lineRule="auto"/>
                                    <w:textDirection w:val="btLr"/>
                                  </w:pPr>
                                </w:p>
                              </w:txbxContent>
                            </wps:txbx>
                            <wps:bodyPr spcFirstLastPara="1" wrap="square" lIns="91425" tIns="91425" rIns="91425" bIns="91425" anchor="ctr" anchorCtr="0">
                              <a:noAutofit/>
                            </wps:bodyPr>
                          </wps:wsp>
                          <wps:wsp>
                            <wps:cNvPr id="26" name="26 Rectángulo"/>
                            <wps:cNvSpPr/>
                            <wps:spPr>
                              <a:xfrm flipH="1">
                                <a:off x="0" y="2887579"/>
                                <a:ext cx="992847" cy="963230"/>
                              </a:xfrm>
                              <a:prstGeom prst="rect">
                                <a:avLst/>
                              </a:prstGeom>
                              <a:solidFill>
                                <a:srgbClr val="366092">
                                  <a:alpha val="80000"/>
                                </a:srgbClr>
                              </a:solidFill>
                              <a:ln w="12700" cap="flat" cmpd="sng">
                                <a:solidFill>
                                  <a:schemeClr val="lt1"/>
                                </a:solidFill>
                                <a:prstDash val="solid"/>
                                <a:miter lim="800000"/>
                                <a:headEnd type="none" w="sm" len="sm"/>
                                <a:tailEnd type="none" w="sm" len="sm"/>
                              </a:ln>
                            </wps:spPr>
                            <wps:txbx>
                              <w:txbxContent>
                                <w:p w14:paraId="255D63CB" w14:textId="77777777" w:rsidR="00D065EA" w:rsidRDefault="00D065EA">
                                  <w:pPr>
                                    <w:spacing w:after="0" w:line="240" w:lineRule="auto"/>
                                    <w:textDirection w:val="btLr"/>
                                  </w:pPr>
                                </w:p>
                              </w:txbxContent>
                            </wps:txbx>
                            <wps:bodyPr spcFirstLastPara="1" wrap="square" lIns="91425" tIns="91425" rIns="91425" bIns="91425" anchor="ctr" anchorCtr="0">
                              <a:noAutofit/>
                            </wps:bodyPr>
                          </wps:wsp>
                          <wps:wsp>
                            <wps:cNvPr id="27" name="27 Rectángulo"/>
                            <wps:cNvSpPr/>
                            <wps:spPr>
                              <a:xfrm flipH="1">
                                <a:off x="0" y="1925052"/>
                                <a:ext cx="992847" cy="963230"/>
                              </a:xfrm>
                              <a:prstGeom prst="rect">
                                <a:avLst/>
                              </a:prstGeom>
                              <a:solidFill>
                                <a:srgbClr val="B7CCE4">
                                  <a:alpha val="49411"/>
                                </a:srgbClr>
                              </a:solidFill>
                              <a:ln w="12700" cap="flat" cmpd="sng">
                                <a:solidFill>
                                  <a:schemeClr val="lt1"/>
                                </a:solidFill>
                                <a:prstDash val="solid"/>
                                <a:miter lim="800000"/>
                                <a:headEnd type="none" w="sm" len="sm"/>
                                <a:tailEnd type="none" w="sm" len="sm"/>
                              </a:ln>
                            </wps:spPr>
                            <wps:txbx>
                              <w:txbxContent>
                                <w:p w14:paraId="07FC80C7" w14:textId="77777777" w:rsidR="00D065EA" w:rsidRDefault="00D065EA">
                                  <w:pPr>
                                    <w:spacing w:after="0" w:line="240" w:lineRule="auto"/>
                                    <w:textDirection w:val="btLr"/>
                                  </w:pPr>
                                </w:p>
                              </w:txbxContent>
                            </wps:txbx>
                            <wps:bodyPr spcFirstLastPara="1" wrap="square" lIns="91425" tIns="91425" rIns="91425" bIns="91425" anchor="ctr" anchorCtr="0">
                              <a:noAutofit/>
                            </wps:bodyPr>
                          </wps:wsp>
                          <wps:wsp>
                            <wps:cNvPr id="28" name="28 Rectángulo"/>
                            <wps:cNvSpPr/>
                            <wps:spPr>
                              <a:xfrm flipH="1">
                                <a:off x="0" y="3850105"/>
                                <a:ext cx="992847" cy="963230"/>
                              </a:xfrm>
                              <a:prstGeom prst="rect">
                                <a:avLst/>
                              </a:prstGeom>
                              <a:solidFill>
                                <a:srgbClr val="B7CCE4">
                                  <a:alpha val="49411"/>
                                </a:srgbClr>
                              </a:solidFill>
                              <a:ln w="12700" cap="flat" cmpd="sng">
                                <a:solidFill>
                                  <a:schemeClr val="lt1"/>
                                </a:solidFill>
                                <a:prstDash val="solid"/>
                                <a:miter lim="800000"/>
                                <a:headEnd type="none" w="sm" len="sm"/>
                                <a:tailEnd type="none" w="sm" len="sm"/>
                              </a:ln>
                            </wps:spPr>
                            <wps:txbx>
                              <w:txbxContent>
                                <w:p w14:paraId="777D3ADC" w14:textId="77777777" w:rsidR="00D065EA" w:rsidRDefault="00D065EA">
                                  <w:pPr>
                                    <w:spacing w:after="0" w:line="240" w:lineRule="auto"/>
                                    <w:textDirection w:val="btLr"/>
                                  </w:pPr>
                                </w:p>
                              </w:txbxContent>
                            </wps:txbx>
                            <wps:bodyPr spcFirstLastPara="1" wrap="square" lIns="91425" tIns="91425" rIns="91425" bIns="91425" anchor="ctr" anchorCtr="0">
                              <a:noAutofit/>
                            </wps:bodyPr>
                          </wps:wsp>
                          <wps:wsp>
                            <wps:cNvPr id="29" name="29 Rectángulo"/>
                            <wps:cNvSpPr/>
                            <wps:spPr>
                              <a:xfrm flipH="1">
                                <a:off x="986590" y="4812631"/>
                                <a:ext cx="992847" cy="963230"/>
                              </a:xfrm>
                              <a:prstGeom prst="rect">
                                <a:avLst/>
                              </a:prstGeom>
                              <a:solidFill>
                                <a:srgbClr val="B7CCE4">
                                  <a:alpha val="49411"/>
                                </a:srgbClr>
                              </a:solidFill>
                              <a:ln w="12700" cap="flat" cmpd="sng">
                                <a:solidFill>
                                  <a:schemeClr val="lt1"/>
                                </a:solidFill>
                                <a:prstDash val="solid"/>
                                <a:miter lim="800000"/>
                                <a:headEnd type="none" w="sm" len="sm"/>
                                <a:tailEnd type="none" w="sm" len="sm"/>
                              </a:ln>
                            </wps:spPr>
                            <wps:txbx>
                              <w:txbxContent>
                                <w:p w14:paraId="559FE311" w14:textId="77777777" w:rsidR="00D065EA" w:rsidRDefault="00D065EA">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1209180E" id="573 Grupo" o:spid="_x0000_s1046" style="position:absolute;margin-left:-66pt;margin-top:1pt;width:155.85pt;height:697.15pt;z-index:251659264" coordorigin="43562" coordsize="19794,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OqIQQAAPgaAAAOAAAAZHJzL2Uyb0RvYy54bWzsWdtu4zYQfS/QfyD0vrFE3YU4izaJ0wKL&#10;NuhuP4DWHaBElqRj53P6LftjHVK0LGeNDdb1pi5gP8ikxMvM8JyZIXn9ftNR9FQK2bJ+7nhXroPK&#10;PmdF29dz589Pi3eJg6QifUEo68u581xK5/3Njz9cr3lWYtYwWpQCwSC9zNZ87jRK8Ww2k3lTdkRe&#10;MV728LFioiMKqqKeFYKsYfSOzrDrRrM1EwUXLC+lhLd3w0fnxoxfVWWufq8qWSpE5w7IpsxTmOdS&#10;P2c31ySrBeFNm1sxyBFSdKTtYdJxqDuiCFqJ9ouhujYXTLJKXeWsm7GqavPS6ADaeO4LbR4EW3Gj&#10;S52taz6aCUz7wk5HD5v/9vQoUFvMnTD2HdSTDhYJiuhBrDjT5lnzOoNWD4J/5I/CvqiHmtZ4U4lO&#10;/4MuaGMM+zwattwolMNLL43TwI8dlMO3JAn9xA0H0+cNrI/uF/hhhBPsoF3vvLk/1D8OIxd+uv9s&#10;O/1MSzkKNVZG6a2OGCAwqIjdozU8IOlBPSdykuw76QmkkTtcyH+Hi48N4aWBm9QrvrWZN9rMQ38A&#10;oT7/3dcrarFhWo7AkJkEjBxAxWs2w+GAjYnNxrUlGRdSPZSsQ7owdwQIYchGnj5INcBg20TP3bNF&#10;Sym8Jxnt917AmPoNoGUrqS6pzXJjKOAFA+BltmTFM+gveb5oYc4PRKpHIsAzgDHW4C3mjvxrRUTp&#10;IPprD2ZPvUCroKYVMa0spxXS5w0DJ5Qr4aChcquMUxqk/WmlWNUazbR8gzBWbFjvAdUG7V8AHAhk&#10;AY7/I4ADxYDC77wQBwNJNfgPEjkNAxf70VeJ/BYAH/0e9o8G+AGt95zCFuBGZ6hMndcbAtxMvMPU&#10;GQP8LRY+GMkSfK+Fx6n1bIfA/s0LLxltC+3ctJ+Qol7eUoGeCOQ2weLOWywsrPaa0R6twW/hGNiI&#10;cu26KkoUFDsOUV/2tXGle132Rl6Y36GRtc+9I7IZJDAj6GYk61oFSR1tOwj2OlTbNKspSXHfF0g9&#10;c0gyesgHwZmCCB140RKyRyiY7oq09PV2r/ly41cuUB+SO+1+bFwIvw3qqKIt/0UHPr2yNslLkyhM&#10;B5eHkyQO43RYua3LS1OcBDbdSyMf+/vZ2glx/3N8e3sfDNkA5Q2xbEgDz9tCdqCJSRb3UH4MMfS2&#10;pBxJR9U4yZSY582LWNvlwgvLi2jkRXQCXpwFJfwoclP8khLGEV8oYTcoGv+7tD+5UGKy3wO/bUNF&#10;fDJKeCkO3RBrO5PsEiW0Fc47SpiAfokSNkrAIaalRHIySvhJCCd+9hjsQomzpwScHV4Sp92pYDpS&#10;Ij0BJSYbiiDxcOSbxPoSKoad/lmHCmyW6n8QKnZ3BOYo1d4X2DJcr5gdor0K0vc307pptbuwuvkH&#10;AAD//wMAUEsDBBQABgAIAAAAIQD6ezRm4QAAAAsBAAAPAAAAZHJzL2Rvd25yZXYueG1sTI9BS8NA&#10;EIXvgv9hGcFbu0mDrY3ZlFLUUxFsBfE2zU6T0OxsyG6T9N+7OelpZniPN9/LNqNpRE+dqy0riOcR&#10;COLC6ppLBV/Ht9kzCOeRNTaWScGNHGzy+7sMU20H/qT+4EsRQtilqKDyvk2ldEVFBt3ctsRBO9vO&#10;oA9nV0rd4RDCTSMXUbSUBmsOHypsaVdRcTlcjYL3AYdtEr/2+8t5d/s5Pn1872NS6vFh3L6A8DT6&#10;PzNM+AEd8sB0slfWTjQKZnGyCGW8gmlMhtV6BeIUlmS9TEDmmfzfIf8FAAD//wMAUEsBAi0AFAAG&#10;AAgAAAAhALaDOJL+AAAA4QEAABMAAAAAAAAAAAAAAAAAAAAAAFtDb250ZW50X1R5cGVzXS54bWxQ&#10;SwECLQAUAAYACAAAACEAOP0h/9YAAACUAQAACwAAAAAAAAAAAAAAAAAvAQAAX3JlbHMvLnJlbHNQ&#10;SwECLQAUAAYACAAAACEAAxxzqiEEAAD4GgAADgAAAAAAAAAAAAAAAAAuAgAAZHJzL2Uyb0RvYy54&#10;bWxQSwECLQAUAAYACAAAACEA+ns0ZuEAAAALAQAADwAAAAAAAAAAAAAAAAB7BgAAZHJzL2Rvd25y&#10;ZXYueG1sUEsFBgAAAAAEAAQA8wAAAIkHAAAAAA==&#10;">
                <v:group id="20 Grupo" o:spid="_x0000_s1047" style="position:absolute;left:43562;width:19795;height:75600" coordorigin="43562" coordsize="19794,75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21 Rectángulo" o:spid="_x0000_s1048" style="position:absolute;left:43562;width:19795;height:75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ihcMA&#10;AADbAAAADwAAAGRycy9kb3ducmV2LnhtbESP0WrCQBRE3wv+w3KFvtWNoUiNboKKQtunGv2Aa/aa&#10;DWbvxuyq6d93C4U+DjNzhlkWg23FnXrfOFYwnSQgiCunG64VHA+7lzcQPiBrbB2Tgm/yUOSjpyVm&#10;2j14T/cy1CJC2GeowITQZVL6ypBFP3EdcfTOrrcYouxrqXt8RLhtZZokM2mx4bhgsKONoepS3qyC&#10;r1dH6Tb167K2czOcDp8fV5wp9TweVgsQgYbwH/5rv2sF6RR+v8Qf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bihcMAAADbAAAADwAAAAAAAAAAAAAAAACYAgAAZHJzL2Rv&#10;d25yZXYueG1sUEsFBgAAAAAEAAQA9QAAAIgDAAAAAA==&#10;" filled="f" stroked="f">
                    <v:textbox inset="2.53958mm,2.53958mm,2.53958mm,2.53958mm">
                      <w:txbxContent>
                        <w:p w14:paraId="5F9228BE" w14:textId="77777777" w:rsidR="00D065EA" w:rsidRDefault="00D065EA">
                          <w:pPr>
                            <w:spacing w:after="0" w:line="240" w:lineRule="auto"/>
                            <w:textDirection w:val="btLr"/>
                          </w:pPr>
                        </w:p>
                      </w:txbxContent>
                    </v:textbox>
                  </v:rect>
                  <v:group id="22 Grupo" o:spid="_x0000_s1049" style="position:absolute;left:43562;width:19795;height:75600" coordorigin=",-1524" coordsize="19794,9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23 Rectángulo" o:spid="_x0000_s1050" style="position:absolute;top:-1524;width:19794;height:95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ZacMA&#10;AADbAAAADwAAAGRycy9kb3ducmV2LnhtbESPwW7CMBBE75X4B2uReitOU4TaEAcBKhL01AY+YImX&#10;OGq8DrEL4e9xpUo9jmbmjSZfDLYVF+p941jB8yQBQVw53XCt4LDfPL2C8AFZY+uYFNzIw6IYPeSY&#10;aXflL7qUoRYRwj5DBSaELpPSV4Ys+onriKN3cr3FEGVfS93jNcJtK9MkmUmLDccFgx2tDVXf5Y9V&#10;8Dl1lL6nflXW9s0Mx/3H7owzpR7Hw3IOItAQ/sN/7a1WkL7A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jZacMAAADbAAAADwAAAAAAAAAAAAAAAACYAgAAZHJzL2Rv&#10;d25yZXYueG1sUEsFBgAAAAAEAAQA9QAAAIgDAAAAAA==&#10;" filled="f" stroked="f">
                      <v:textbox inset="2.53958mm,2.53958mm,2.53958mm,2.53958mm">
                        <w:txbxContent>
                          <w:p w14:paraId="64E27F3D" w14:textId="77777777" w:rsidR="00D065EA" w:rsidRDefault="00D065EA">
                            <w:pPr>
                              <w:spacing w:after="0" w:line="240" w:lineRule="auto"/>
                              <w:textDirection w:val="btLr"/>
                            </w:pPr>
                          </w:p>
                        </w:txbxContent>
                      </v:textbox>
                    </v:rect>
                    <v:rect id="24 Rectángulo" o:spid="_x0000_s1051" style="position:absolute;top:-1524;width:19792;height:95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Jn8MA&#10;AADbAAAADwAAAGRycy9kb3ducmV2LnhtbESPQWvCQBSE70L/w/KE3szGEKSmrlIK0lK8GKXnx+4z&#10;ic2+DdnVpPn13UKhx2FmvmE2u9G24k69bxwrWCYpCGLtTMOVgvNpv3gC4QOywdYxKfgmD7vtw2yD&#10;hXEDH+lehkpECPsCFdQhdIWUXtdk0SeuI47exfUWQ5R9JU2PQ4TbVmZpupIWG44LNXb0WpP+Km9W&#10;wdV8Hqd81B/85k15yGhau25S6nE+vjyDCDSG//Bf+90oyHL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wJn8MAAADbAAAADwAAAAAAAAAAAAAAAACYAgAAZHJzL2Rv&#10;d25yZXYueG1sUEsFBgAAAAAEAAQA9QAAAIgDAAAAAA==&#10;" fillcolor="#4fd1ff" strokecolor="white" strokeweight="1pt">
                      <v:stroke startarrowwidth="narrow" startarrowlength="short" endarrowwidth="narrow" endarrowlength="short"/>
                      <v:textbox inset="2.53958mm,2.53958mm,2.53958mm,2.53958mm">
                        <w:txbxContent>
                          <w:p w14:paraId="688CBE2C" w14:textId="77777777" w:rsidR="00D065EA" w:rsidRDefault="00D065EA">
                            <w:pPr>
                              <w:spacing w:after="0" w:line="240" w:lineRule="auto"/>
                              <w:textDirection w:val="btLr"/>
                            </w:pPr>
                          </w:p>
                        </w:txbxContent>
                      </v:textbox>
                    </v:rect>
                    <v:rect id="25 Rectángulo" o:spid="_x0000_s1052" style="position:absolute;left:9865;top:28875;width:9929;height:963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hp8YA&#10;AADbAAAADwAAAGRycy9kb3ducmV2LnhtbESPQWvCQBSE7wX/w/IEL0U3BioSXUUKFaG0pVEEb8/s&#10;M4lm34bdrUn/fbdQ6HGYmW+Y5bo3jbiT87VlBdNJAoK4sLrmUsFh/zKeg/ABWWNjmRR8k4f1avCw&#10;xEzbjj/pnodSRAj7DBVUIbSZlL6oyKCf2JY4ehfrDIYoXSm1wy7CTSPTJJlJgzXHhQpbeq6ouOVf&#10;RsHsmLbv548rbrvLMTkd5u7xLX9VajTsNwsQgfrwH/5r77SC9Al+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ahp8YAAADbAAAADwAAAAAAAAAAAAAAAACYAgAAZHJz&#10;L2Rvd25yZXYueG1sUEsFBgAAAAAEAAQA9QAAAIsDAAAAAA==&#10;" fillcolor="#b7cce4" strokecolor="white [3201]" strokeweight="1pt">
                      <v:fill opacity="32382f"/>
                      <v:stroke startarrowwidth="narrow" startarrowlength="short" endarrowwidth="narrow" endarrowlength="short"/>
                      <v:textbox inset="2.53958mm,2.53958mm,2.53958mm,2.53958mm">
                        <w:txbxContent>
                          <w:p w14:paraId="18D75CA4" w14:textId="77777777" w:rsidR="00D065EA" w:rsidRDefault="00D065EA">
                            <w:pPr>
                              <w:spacing w:after="0" w:line="240" w:lineRule="auto"/>
                              <w:textDirection w:val="btLr"/>
                            </w:pPr>
                          </w:p>
                        </w:txbxContent>
                      </v:textbox>
                    </v:rect>
                    <v:rect id="26 Rectángulo" o:spid="_x0000_s1053" style="position:absolute;top:28875;width:9928;height:963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r2gcUA&#10;AADbAAAADwAAAGRycy9kb3ducmV2LnhtbESPT2vCQBTE74V+h+UVvNVNPQRJXUWE/vGgtEkbPD6y&#10;zyQ0+zZknxq/vVso9DjMzG+YxWp0nTrTEFrPBp6mCSjiytuWawNfxcvjHFQQZIudZzJwpQCr5f3d&#10;AjPrL/xJ51xqFSEcMjTQiPSZ1qFqyGGY+p44ekc/OJQoh1rbAS8R7jo9S5JUO2w5LjTY06ah6ic/&#10;OQOvxf6Qrt/CR1F+y1bKsc135caYycO4fgYlNMp/+K/9bg3MUvj9En+A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vaBxQAAANsAAAAPAAAAAAAAAAAAAAAAAJgCAABkcnMv&#10;ZG93bnJldi54bWxQSwUGAAAAAAQABAD1AAAAigMAAAAA&#10;" fillcolor="#366092" strokecolor="white [3201]" strokeweight="1pt">
                      <v:fill opacity="52428f"/>
                      <v:stroke startarrowwidth="narrow" startarrowlength="short" endarrowwidth="narrow" endarrowlength="short"/>
                      <v:textbox inset="2.53958mm,2.53958mm,2.53958mm,2.53958mm">
                        <w:txbxContent>
                          <w:p w14:paraId="255D63CB" w14:textId="77777777" w:rsidR="00D065EA" w:rsidRDefault="00D065EA">
                            <w:pPr>
                              <w:spacing w:after="0" w:line="240" w:lineRule="auto"/>
                              <w:textDirection w:val="btLr"/>
                            </w:pPr>
                          </w:p>
                        </w:txbxContent>
                      </v:textbox>
                    </v:rect>
                    <v:rect id="27 Rectángulo" o:spid="_x0000_s1054" style="position:absolute;top:19250;width:9928;height:963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aS8YA&#10;AADbAAAADwAAAGRycy9kb3ducmV2LnhtbESPQWvCQBSE7wX/w/IKvRTdNAeV6CpFsBRKK0YRvL1m&#10;n0lq9m3Y3Zr033cFweMwM98w82VvGnEh52vLCl5GCQjiwuqaSwX73Xo4BeEDssbGMin4Iw/LxeBh&#10;jpm2HW/pkodSRAj7DBVUIbSZlL6oyKAf2ZY4eifrDIYoXSm1wy7CTSPTJBlLgzXHhQpbWlVUnPNf&#10;o2B8SNuv780PvnWnQ3LcT93zZ/6h1NNj/zoDEagP9/Ct/a4VpBO4fok/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iaS8YAAADbAAAADwAAAAAAAAAAAAAAAACYAgAAZHJz&#10;L2Rvd25yZXYueG1sUEsFBgAAAAAEAAQA9QAAAIsDAAAAAA==&#10;" fillcolor="#b7cce4" strokecolor="white [3201]" strokeweight="1pt">
                      <v:fill opacity="32382f"/>
                      <v:stroke startarrowwidth="narrow" startarrowlength="short" endarrowwidth="narrow" endarrowlength="short"/>
                      <v:textbox inset="2.53958mm,2.53958mm,2.53958mm,2.53958mm">
                        <w:txbxContent>
                          <w:p w14:paraId="07FC80C7" w14:textId="77777777" w:rsidR="00D065EA" w:rsidRDefault="00D065EA">
                            <w:pPr>
                              <w:spacing w:after="0" w:line="240" w:lineRule="auto"/>
                              <w:textDirection w:val="btLr"/>
                            </w:pPr>
                          </w:p>
                        </w:txbxContent>
                      </v:textbox>
                    </v:rect>
                    <v:rect id="28 Rectángulo" o:spid="_x0000_s1055" style="position:absolute;top:38501;width:9928;height:963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OOcMA&#10;AADbAAAADwAAAGRycy9kb3ducmV2LnhtbERPy2rCQBTdF/yH4QrdFJ00C5HoRIqgFEotpiJ0d5u5&#10;edTMnTAzNfHvOwuhy8N5rzej6cSVnG8tK3ieJyCIS6tbrhWcPnezJQgfkDV2lknBjTxs8snDGjNt&#10;Bz7StQi1iCHsM1TQhNBnUvqyIYN+bnviyFXWGQwRulpqh0MMN51Mk2QhDbYcGxrsadtQeSl+jYLF&#10;Oe0P3x8/uB+qc/J1Wrqn9+JNqcfp+LICEWgM/+K7+1UrSOPY+CX+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cOOcMAAADbAAAADwAAAAAAAAAAAAAAAACYAgAAZHJzL2Rv&#10;d25yZXYueG1sUEsFBgAAAAAEAAQA9QAAAIgDAAAAAA==&#10;" fillcolor="#b7cce4" strokecolor="white [3201]" strokeweight="1pt">
                      <v:fill opacity="32382f"/>
                      <v:stroke startarrowwidth="narrow" startarrowlength="short" endarrowwidth="narrow" endarrowlength="short"/>
                      <v:textbox inset="2.53958mm,2.53958mm,2.53958mm,2.53958mm">
                        <w:txbxContent>
                          <w:p w14:paraId="777D3ADC" w14:textId="77777777" w:rsidR="00D065EA" w:rsidRDefault="00D065EA">
                            <w:pPr>
                              <w:spacing w:after="0" w:line="240" w:lineRule="auto"/>
                              <w:textDirection w:val="btLr"/>
                            </w:pPr>
                          </w:p>
                        </w:txbxContent>
                      </v:textbox>
                    </v:rect>
                    <v:rect id="29 Rectángulo" o:spid="_x0000_s1056" style="position:absolute;left:9865;top:48126;width:9929;height:963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rosYA&#10;AADbAAAADwAAAGRycy9kb3ducmV2LnhtbESPQWvCQBSE74X+h+UVeil1Yw6i0VWKYCmUWowi9PbM&#10;PpPU7NuwuzXx37tCweMwM98ws0VvGnEm52vLCoaDBARxYXXNpYLddvU6BuEDssbGMim4kIfF/PFh&#10;hpm2HW/onIdSRAj7DBVUIbSZlL6oyKAf2JY4ekfrDIYoXSm1wy7CTSPTJBlJgzXHhQpbWlZUnPI/&#10;o2C0T9v14fsX37vjPvnZjd3LV/6p1PNT/zYFEagP9/B/+0MrSCd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urosYAAADbAAAADwAAAAAAAAAAAAAAAACYAgAAZHJz&#10;L2Rvd25yZXYueG1sUEsFBgAAAAAEAAQA9QAAAIsDAAAAAA==&#10;" fillcolor="#b7cce4" strokecolor="white [3201]" strokeweight="1pt">
                      <v:fill opacity="32382f"/>
                      <v:stroke startarrowwidth="narrow" startarrowlength="short" endarrowwidth="narrow" endarrowlength="short"/>
                      <v:textbox inset="2.53958mm,2.53958mm,2.53958mm,2.53958mm">
                        <w:txbxContent>
                          <w:p w14:paraId="559FE311" w14:textId="77777777" w:rsidR="00D065EA" w:rsidRDefault="00D065EA">
                            <w:pPr>
                              <w:spacing w:after="0" w:line="240" w:lineRule="auto"/>
                              <w:textDirection w:val="btLr"/>
                            </w:pPr>
                          </w:p>
                        </w:txbxContent>
                      </v:textbox>
                    </v:rect>
                  </v:group>
                </v:group>
              </v:group>
            </w:pict>
          </mc:Fallback>
        </mc:AlternateContent>
      </w:r>
    </w:p>
    <w:p w14:paraId="089B9712" w14:textId="2FA1CD21" w:rsidR="000A7CAF" w:rsidRDefault="000A7CAF"/>
    <w:p w14:paraId="53FF4BCE" w14:textId="437CEF46" w:rsidR="000A7CAF" w:rsidRDefault="000A7CAF"/>
    <w:p w14:paraId="040BF582" w14:textId="2AF42D0B" w:rsidR="000A7CAF" w:rsidRDefault="005031F7">
      <w:r>
        <w:rPr>
          <w:noProof/>
        </w:rPr>
        <mc:AlternateContent>
          <mc:Choice Requires="wps">
            <w:drawing>
              <wp:anchor distT="0" distB="0" distL="114300" distR="114300" simplePos="0" relativeHeight="251661312" behindDoc="0" locked="0" layoutInCell="1" hidden="0" allowOverlap="1" wp14:anchorId="49C71BA1" wp14:editId="36DED7CD">
                <wp:simplePos x="0" y="0"/>
                <wp:positionH relativeFrom="column">
                  <wp:posOffset>1624330</wp:posOffset>
                </wp:positionH>
                <wp:positionV relativeFrom="paragraph">
                  <wp:posOffset>26035</wp:posOffset>
                </wp:positionV>
                <wp:extent cx="45719" cy="4520640"/>
                <wp:effectExtent l="38100" t="19050" r="50165" b="51435"/>
                <wp:wrapNone/>
                <wp:docPr id="577" name="577 Conector recto de flecha"/>
                <wp:cNvGraphicFramePr/>
                <a:graphic xmlns:a="http://schemas.openxmlformats.org/drawingml/2006/main">
                  <a:graphicData uri="http://schemas.microsoft.com/office/word/2010/wordprocessingShape">
                    <wps:wsp>
                      <wps:cNvCnPr/>
                      <wps:spPr>
                        <a:xfrm flipH="1">
                          <a:off x="0" y="0"/>
                          <a:ext cx="45719" cy="4520640"/>
                        </a:xfrm>
                        <a:prstGeom prst="straightConnector1">
                          <a:avLst/>
                        </a:prstGeom>
                        <a:noFill/>
                        <a:ln w="76200" cap="flat" cmpd="tri">
                          <a:solidFill>
                            <a:srgbClr val="17365D"/>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44B914CC" id="_x0000_t32" coordsize="21600,21600" o:spt="32" o:oned="t" path="m,l21600,21600e" filled="f">
                <v:path arrowok="t" fillok="f" o:connecttype="none"/>
                <o:lock v:ext="edit" shapetype="t"/>
              </v:shapetype>
              <v:shape id="577 Conector recto de flecha" o:spid="_x0000_s1026" type="#_x0000_t32" style="position:absolute;margin-left:127.9pt;margin-top:2.05pt;width:3.6pt;height:355.9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1ji6wEAAMUDAAAOAAAAZHJzL2Uyb0RvYy54bWysU8mOEzEQvSPxD5bvpJOQBaJ05pAwcEAQ&#10;CfiAipduS95U9qSTv6fszoTtgIS4uMuu7dWr19uHi7PsrDCZ4Fs+m0w5U14EaXzX8m9fH1+94Sxl&#10;8BJs8KrlV5X4w+7li+0QN2oe+mClQkZFfNoMseV9znHTNEn0ykGahKg8OXVAB5mu2DUSYaDqzjbz&#10;6XTVDAFlxCBUSvR6GJ18V+trrUT+rHVSmdmWE7ZcT6znqZzNbgubDiH2RtxgwD+gcGA8Nb2XOkAG&#10;9oTmj1LOCAwp6DwRwTVBayNUnYGmmU1/m+ZLD1HVWYicFO80pf9XVnw6H5EZ2fLles2ZB0dLIpPt&#10;aV0iB2RYPkwqpq0SPRTGhpg2lLj3R7zdUjxiGf+i0VGgiR9IDJUQGpFdKt/XO9/qkpmgx8VyPXvL&#10;mSDPYjmfrhZ1H81YppSLmPJ7FRwrRstTRjBdnwnbCG5sAeePKRMQSnxOKMk+PBpr64KtZ0PL1ytS&#10;DLUD0pm2kMl0kSbPaCrUFKyRJadkJ+xOe4vsDKSc2fr1ankoo1OPX8JKwwOkfoyrrlFTGJ68rM17&#10;BfKdlyxfI3HriVde0CTHmVX005BR4zIY+/c4AmA94Sg7GFkv1inIa11GfSetVKQ3XRcx/nyv2T/+&#10;vt13AAAA//8DAFBLAwQUAAYACAAAACEAjts6ed0AAAAJAQAADwAAAGRycy9kb3ducmV2LnhtbEyP&#10;QU+EMBSE7yb+h+aZeHNb0EVFHhtDNB7ci6j3Qp9ApC3S7oL/3udJj5OZzHxT7FY7iiPNYfAOIdko&#10;EORabwbXIby9Pl7cgAhRO6NH7wjhmwLsytOTQufGL+6FjnXsBJe4kGuEPsYplzK0PVkdNn4ix96H&#10;n62OLOdOmlkvXG5HmSqVSasHxwu9nqjqqf2sDxahejDr+/O+Sm5jlz0p9VU33VIhnp+t93cgIq3x&#10;Lwy/+IwOJTM1/uBMECNCut0yekS4SkCwn2aX/K1BuE4yBbIs5P8H5Q8AAAD//wMAUEsBAi0AFAAG&#10;AAgAAAAhALaDOJL+AAAA4QEAABMAAAAAAAAAAAAAAAAAAAAAAFtDb250ZW50X1R5cGVzXS54bWxQ&#10;SwECLQAUAAYACAAAACEAOP0h/9YAAACUAQAACwAAAAAAAAAAAAAAAAAvAQAAX3JlbHMvLnJlbHNQ&#10;SwECLQAUAAYACAAAACEAK5tY4usBAADFAwAADgAAAAAAAAAAAAAAAAAuAgAAZHJzL2Uyb0RvYy54&#10;bWxQSwECLQAUAAYACAAAACEAjts6ed0AAAAJAQAADwAAAAAAAAAAAAAAAABFBAAAZHJzL2Rvd25y&#10;ZXYueG1sUEsFBgAAAAAEAAQA8wAAAE8FAAAAAA==&#10;" strokecolor="#17365d" strokeweight="6pt">
                <v:stroke startarrowwidth="narrow" startarrowlength="short" endarrowwidth="narrow" endarrowlength="short" linestyle="thickBetweenThin"/>
              </v:shape>
            </w:pict>
          </mc:Fallback>
        </mc:AlternateContent>
      </w:r>
      <w:r w:rsidR="00705B98">
        <w:rPr>
          <w:noProof/>
        </w:rPr>
        <mc:AlternateContent>
          <mc:Choice Requires="wps">
            <w:drawing>
              <wp:anchor distT="0" distB="0" distL="114300" distR="114300" simplePos="0" relativeHeight="251660288" behindDoc="0" locked="0" layoutInCell="1" hidden="0" allowOverlap="1" wp14:anchorId="68E2E2C7" wp14:editId="7AAE2350">
                <wp:simplePos x="0" y="0"/>
                <wp:positionH relativeFrom="column">
                  <wp:posOffset>1853345</wp:posOffset>
                </wp:positionH>
                <wp:positionV relativeFrom="paragraph">
                  <wp:posOffset>3021</wp:posOffset>
                </wp:positionV>
                <wp:extent cx="4238625" cy="5660823"/>
                <wp:effectExtent l="0" t="0" r="9525" b="0"/>
                <wp:wrapNone/>
                <wp:docPr id="575" name="575 Rectángulo"/>
                <wp:cNvGraphicFramePr/>
                <a:graphic xmlns:a="http://schemas.openxmlformats.org/drawingml/2006/main">
                  <a:graphicData uri="http://schemas.microsoft.com/office/word/2010/wordprocessingShape">
                    <wps:wsp>
                      <wps:cNvSpPr/>
                      <wps:spPr>
                        <a:xfrm>
                          <a:off x="0" y="0"/>
                          <a:ext cx="4238625" cy="5660823"/>
                        </a:xfrm>
                        <a:prstGeom prst="rect">
                          <a:avLst/>
                        </a:prstGeom>
                        <a:solidFill>
                          <a:schemeClr val="lt1"/>
                        </a:solidFill>
                        <a:ln>
                          <a:noFill/>
                        </a:ln>
                      </wps:spPr>
                      <wps:txbx>
                        <w:txbxContent>
                          <w:p w14:paraId="59DE6027" w14:textId="77777777" w:rsidR="00D065EA" w:rsidRPr="000406B4" w:rsidRDefault="00D065EA">
                            <w:pPr>
                              <w:spacing w:after="0" w:line="240" w:lineRule="auto"/>
                              <w:jc w:val="both"/>
                              <w:textDirection w:val="btLr"/>
                              <w:rPr>
                                <w:rFonts w:asciiTheme="minorHAnsi" w:hAnsiTheme="minorHAnsi" w:cstheme="minorHAnsi"/>
                              </w:rPr>
                            </w:pPr>
                            <w:r w:rsidRPr="000406B4">
                              <w:rPr>
                                <w:rFonts w:asciiTheme="minorHAnsi" w:eastAsia="Arial" w:hAnsiTheme="minorHAnsi" w:cstheme="minorHAnsi"/>
                                <w:b/>
                                <w:color w:val="000000"/>
                              </w:rPr>
                              <w:t xml:space="preserve">Informe Diagnóstico Sectorial: Sector Desarrollo Económico. </w:t>
                            </w:r>
                          </w:p>
                          <w:p w14:paraId="13A069B2" w14:textId="77777777" w:rsidR="00D065EA" w:rsidRPr="000406B4" w:rsidRDefault="00D065EA">
                            <w:pPr>
                              <w:spacing w:after="0" w:line="240" w:lineRule="auto"/>
                              <w:jc w:val="both"/>
                              <w:textDirection w:val="btLr"/>
                              <w:rPr>
                                <w:rFonts w:asciiTheme="minorHAnsi" w:hAnsiTheme="minorHAnsi" w:cstheme="minorHAnsi"/>
                              </w:rPr>
                            </w:pPr>
                            <w:r w:rsidRPr="000406B4">
                              <w:rPr>
                                <w:rFonts w:asciiTheme="minorHAnsi" w:eastAsia="Arial" w:hAnsiTheme="minorHAnsi" w:cstheme="minorHAnsi"/>
                                <w:color w:val="000000"/>
                              </w:rPr>
                              <w:t>Bogotá mejor para todos</w:t>
                            </w:r>
                          </w:p>
                          <w:p w14:paraId="0C03878A" w14:textId="77777777" w:rsidR="00D065EA" w:rsidRPr="000406B4" w:rsidRDefault="00D065EA">
                            <w:pPr>
                              <w:spacing w:after="0" w:line="240" w:lineRule="auto"/>
                              <w:jc w:val="both"/>
                              <w:textDirection w:val="btLr"/>
                              <w:rPr>
                                <w:rFonts w:asciiTheme="minorHAnsi" w:hAnsiTheme="minorHAnsi" w:cstheme="minorHAnsi"/>
                              </w:rPr>
                            </w:pPr>
                          </w:p>
                          <w:p w14:paraId="31FE673D" w14:textId="17B983B2" w:rsidR="00D065EA" w:rsidRDefault="00D065EA" w:rsidP="00705B98">
                            <w:pPr>
                              <w:spacing w:after="0" w:line="240" w:lineRule="auto"/>
                              <w:jc w:val="both"/>
                              <w:textDirection w:val="btLr"/>
                              <w:rPr>
                                <w:rFonts w:asciiTheme="minorHAnsi" w:hAnsiTheme="minorHAnsi" w:cstheme="minorHAnsi"/>
                              </w:rPr>
                            </w:pPr>
                            <w:r w:rsidRPr="000406B4">
                              <w:rPr>
                                <w:rFonts w:asciiTheme="minorHAnsi" w:eastAsia="Arial" w:hAnsiTheme="minorHAnsi" w:cstheme="minorHAnsi"/>
                                <w:b/>
                                <w:color w:val="000000"/>
                              </w:rPr>
                              <w:t xml:space="preserve">Aprobado: </w:t>
                            </w:r>
                            <w:r w:rsidRPr="000406B4">
                              <w:rPr>
                                <w:rFonts w:asciiTheme="minorHAnsi" w:hAnsiTheme="minorHAnsi" w:cstheme="minorHAnsi"/>
                              </w:rPr>
                              <w:t>José Andrés Duarte García/ Secretario SDDE</w:t>
                            </w:r>
                          </w:p>
                          <w:p w14:paraId="19F34C12" w14:textId="77777777" w:rsidR="00D065EA" w:rsidRDefault="00D065EA" w:rsidP="000406B4">
                            <w:pPr>
                              <w:spacing w:after="0" w:line="240" w:lineRule="auto"/>
                              <w:jc w:val="both"/>
                              <w:textDirection w:val="btLr"/>
                              <w:rPr>
                                <w:rFonts w:asciiTheme="minorHAnsi" w:eastAsia="Arial" w:hAnsiTheme="minorHAnsi" w:cstheme="minorHAnsi"/>
                                <w:b/>
                                <w:color w:val="000000"/>
                              </w:rPr>
                            </w:pPr>
                          </w:p>
                          <w:p w14:paraId="1396E825" w14:textId="27F55E17" w:rsidR="00D065EA" w:rsidRPr="000406B4" w:rsidRDefault="00D065EA" w:rsidP="000406B4">
                            <w:pPr>
                              <w:spacing w:after="0" w:line="240" w:lineRule="auto"/>
                              <w:jc w:val="both"/>
                              <w:textDirection w:val="btLr"/>
                              <w:rPr>
                                <w:rFonts w:asciiTheme="minorHAnsi" w:hAnsiTheme="minorHAnsi" w:cstheme="minorHAnsi"/>
                              </w:rPr>
                            </w:pPr>
                            <w:r w:rsidRPr="000406B4">
                              <w:rPr>
                                <w:rFonts w:asciiTheme="minorHAnsi" w:eastAsia="Arial" w:hAnsiTheme="minorHAnsi" w:cstheme="minorHAnsi"/>
                                <w:b/>
                                <w:color w:val="000000"/>
                              </w:rPr>
                              <w:t>Revisado:</w:t>
                            </w:r>
                            <w:r w:rsidRPr="000406B4">
                              <w:rPr>
                                <w:rFonts w:asciiTheme="minorHAnsi" w:eastAsia="Arial" w:hAnsiTheme="minorHAnsi" w:cstheme="minorHAnsi"/>
                                <w:color w:val="000000"/>
                              </w:rPr>
                              <w:t xml:space="preserve"> </w:t>
                            </w:r>
                            <w:r w:rsidRPr="000406B4">
                              <w:rPr>
                                <w:rFonts w:asciiTheme="minorHAnsi" w:hAnsiTheme="minorHAnsi" w:cstheme="minorHAnsi"/>
                              </w:rPr>
                              <w:t xml:space="preserve">Felipe </w:t>
                            </w:r>
                            <w:r>
                              <w:rPr>
                                <w:rFonts w:asciiTheme="minorHAnsi" w:hAnsiTheme="minorHAnsi" w:cstheme="minorHAnsi"/>
                              </w:rPr>
                              <w:t xml:space="preserve">José </w:t>
                            </w:r>
                            <w:r w:rsidRPr="000406B4">
                              <w:rPr>
                                <w:rFonts w:asciiTheme="minorHAnsi" w:hAnsiTheme="minorHAnsi" w:cstheme="minorHAnsi"/>
                              </w:rPr>
                              <w:t>Valencia</w:t>
                            </w:r>
                            <w:r w:rsidR="00D16C3E">
                              <w:rPr>
                                <w:rFonts w:asciiTheme="minorHAnsi" w:hAnsiTheme="minorHAnsi" w:cstheme="minorHAnsi"/>
                              </w:rPr>
                              <w:t xml:space="preserve"> Bitar</w:t>
                            </w:r>
                            <w:r w:rsidRPr="000406B4">
                              <w:rPr>
                                <w:rFonts w:asciiTheme="minorHAnsi" w:hAnsiTheme="minorHAnsi" w:cstheme="minorHAnsi"/>
                              </w:rPr>
                              <w:t>/ Subsecretario SDDE</w:t>
                            </w:r>
                          </w:p>
                          <w:p w14:paraId="1F548113" w14:textId="34292DC9" w:rsidR="00D065EA" w:rsidRPr="000406B4" w:rsidRDefault="00227617" w:rsidP="000406B4">
                            <w:pPr>
                              <w:spacing w:after="0" w:line="240" w:lineRule="auto"/>
                              <w:jc w:val="both"/>
                              <w:textDirection w:val="btLr"/>
                              <w:rPr>
                                <w:rFonts w:asciiTheme="minorHAnsi" w:hAnsiTheme="minorHAnsi" w:cstheme="minorHAnsi"/>
                              </w:rPr>
                            </w:pPr>
                            <w:r>
                              <w:rPr>
                                <w:rFonts w:asciiTheme="minorHAnsi" w:hAnsiTheme="minorHAnsi" w:cstheme="minorHAnsi"/>
                              </w:rPr>
                              <w:t>Pedro</w:t>
                            </w:r>
                            <w:r w:rsidR="00D065EA">
                              <w:rPr>
                                <w:rFonts w:asciiTheme="minorHAnsi" w:hAnsiTheme="minorHAnsi" w:cstheme="minorHAnsi"/>
                              </w:rPr>
                              <w:t xml:space="preserve"> José Portilla Ubate</w:t>
                            </w:r>
                            <w:r w:rsidR="00D065EA" w:rsidRPr="000406B4">
                              <w:rPr>
                                <w:rFonts w:asciiTheme="minorHAnsi" w:hAnsiTheme="minorHAnsi" w:cstheme="minorHAnsi"/>
                              </w:rPr>
                              <w:t xml:space="preserve">/ </w:t>
                            </w:r>
                            <w:r w:rsidR="00D065EA">
                              <w:rPr>
                                <w:rFonts w:asciiTheme="minorHAnsi" w:hAnsiTheme="minorHAnsi" w:cstheme="minorHAnsi"/>
                              </w:rPr>
                              <w:t>Jefe OAP</w:t>
                            </w:r>
                          </w:p>
                          <w:p w14:paraId="5AC21A46" w14:textId="77777777" w:rsidR="00D065EA" w:rsidRPr="000406B4" w:rsidRDefault="00D065EA" w:rsidP="00D43310">
                            <w:pPr>
                              <w:spacing w:after="0" w:line="240" w:lineRule="auto"/>
                              <w:jc w:val="both"/>
                              <w:textDirection w:val="btLr"/>
                              <w:rPr>
                                <w:rFonts w:asciiTheme="minorHAnsi" w:hAnsiTheme="minorHAnsi" w:cstheme="minorHAnsi"/>
                              </w:rPr>
                            </w:pPr>
                          </w:p>
                          <w:p w14:paraId="2FEB6E3B" w14:textId="48E4A74D" w:rsidR="00D065EA" w:rsidRPr="000406B4" w:rsidRDefault="00D065EA">
                            <w:pPr>
                              <w:spacing w:after="0" w:line="240" w:lineRule="auto"/>
                              <w:jc w:val="both"/>
                              <w:textDirection w:val="btLr"/>
                              <w:rPr>
                                <w:rFonts w:asciiTheme="minorHAnsi" w:hAnsiTheme="minorHAnsi" w:cstheme="minorHAnsi"/>
                              </w:rPr>
                            </w:pPr>
                            <w:r w:rsidRPr="000406B4">
                              <w:rPr>
                                <w:rFonts w:asciiTheme="minorHAnsi" w:eastAsia="Arial" w:hAnsiTheme="minorHAnsi" w:cstheme="minorHAnsi"/>
                                <w:b/>
                                <w:color w:val="000000"/>
                              </w:rPr>
                              <w:t>Elaborado por:</w:t>
                            </w:r>
                            <w:r w:rsidRPr="000406B4">
                              <w:rPr>
                                <w:rFonts w:asciiTheme="minorHAnsi" w:eastAsia="Arial" w:hAnsiTheme="minorHAnsi" w:cstheme="minorHAnsi"/>
                                <w:color w:val="000000"/>
                              </w:rPr>
                              <w:t xml:space="preserve"> </w:t>
                            </w:r>
                          </w:p>
                          <w:p w14:paraId="75F09DE7" w14:textId="687F04A1" w:rsidR="00D065EA" w:rsidRPr="000406B4" w:rsidRDefault="00D065EA">
                            <w:pPr>
                              <w:spacing w:after="0" w:line="240" w:lineRule="auto"/>
                              <w:jc w:val="both"/>
                              <w:textDirection w:val="btLr"/>
                              <w:rPr>
                                <w:rFonts w:asciiTheme="minorHAnsi" w:hAnsiTheme="minorHAnsi" w:cstheme="minorHAnsi"/>
                              </w:rPr>
                            </w:pPr>
                            <w:r>
                              <w:rPr>
                                <w:rFonts w:asciiTheme="minorHAnsi" w:eastAsia="Arial" w:hAnsiTheme="minorHAnsi" w:cstheme="minorHAnsi"/>
                                <w:color w:val="000000"/>
                              </w:rPr>
                              <w:t>Manuela Gómez Saiz/ Contratista –</w:t>
                            </w:r>
                            <w:r w:rsidRPr="000406B4">
                              <w:rPr>
                                <w:rFonts w:asciiTheme="minorHAnsi" w:eastAsia="Arial" w:hAnsiTheme="minorHAnsi" w:cstheme="minorHAnsi"/>
                                <w:color w:val="000000"/>
                              </w:rPr>
                              <w:t xml:space="preserve"> </w:t>
                            </w:r>
                            <w:r>
                              <w:rPr>
                                <w:rFonts w:asciiTheme="minorHAnsi" w:eastAsia="Arial" w:hAnsiTheme="minorHAnsi" w:cstheme="minorHAnsi"/>
                                <w:color w:val="000000"/>
                              </w:rPr>
                              <w:t>OAP-</w:t>
                            </w:r>
                            <w:r w:rsidRPr="000406B4">
                              <w:rPr>
                                <w:rFonts w:asciiTheme="minorHAnsi" w:eastAsia="Arial" w:hAnsiTheme="minorHAnsi" w:cstheme="minorHAnsi"/>
                                <w:color w:val="000000"/>
                              </w:rPr>
                              <w:t>SDDE</w:t>
                            </w:r>
                          </w:p>
                          <w:p w14:paraId="6879921F" w14:textId="60B10CC5" w:rsidR="00D065EA" w:rsidRDefault="00D065EA">
                            <w:pPr>
                              <w:spacing w:after="0" w:line="240" w:lineRule="auto"/>
                              <w:jc w:val="both"/>
                              <w:textDirection w:val="btLr"/>
                              <w:rPr>
                                <w:rFonts w:asciiTheme="minorHAnsi" w:eastAsia="Arial" w:hAnsiTheme="minorHAnsi" w:cstheme="minorHAnsi"/>
                                <w:color w:val="000000"/>
                              </w:rPr>
                            </w:pPr>
                            <w:r w:rsidRPr="000406B4">
                              <w:rPr>
                                <w:rFonts w:asciiTheme="minorHAnsi" w:eastAsia="Arial" w:hAnsiTheme="minorHAnsi" w:cstheme="minorHAnsi"/>
                                <w:color w:val="000000"/>
                              </w:rPr>
                              <w:t xml:space="preserve">Sebastián Moreno Chaves/ </w:t>
                            </w:r>
                            <w:r>
                              <w:rPr>
                                <w:rFonts w:asciiTheme="minorHAnsi" w:eastAsia="Arial" w:hAnsiTheme="minorHAnsi" w:cstheme="minorHAnsi"/>
                                <w:color w:val="000000"/>
                              </w:rPr>
                              <w:t>Contratista –</w:t>
                            </w:r>
                            <w:r w:rsidRPr="000406B4">
                              <w:rPr>
                                <w:rFonts w:asciiTheme="minorHAnsi" w:eastAsia="Arial" w:hAnsiTheme="minorHAnsi" w:cstheme="minorHAnsi"/>
                                <w:color w:val="000000"/>
                              </w:rPr>
                              <w:t xml:space="preserve"> </w:t>
                            </w:r>
                            <w:r>
                              <w:rPr>
                                <w:rFonts w:asciiTheme="minorHAnsi" w:eastAsia="Arial" w:hAnsiTheme="minorHAnsi" w:cstheme="minorHAnsi"/>
                                <w:color w:val="000000"/>
                              </w:rPr>
                              <w:t>OAP-</w:t>
                            </w:r>
                            <w:r w:rsidRPr="000406B4">
                              <w:rPr>
                                <w:rFonts w:asciiTheme="minorHAnsi" w:eastAsia="Arial" w:hAnsiTheme="minorHAnsi" w:cstheme="minorHAnsi"/>
                                <w:color w:val="000000"/>
                              </w:rPr>
                              <w:t>SDDE</w:t>
                            </w:r>
                          </w:p>
                          <w:p w14:paraId="1204506F" w14:textId="7A543ED5" w:rsidR="00D065EA" w:rsidRPr="000406B4" w:rsidRDefault="00D065EA">
                            <w:pPr>
                              <w:spacing w:after="0" w:line="240" w:lineRule="auto"/>
                              <w:jc w:val="both"/>
                              <w:textDirection w:val="btLr"/>
                              <w:rPr>
                                <w:rFonts w:asciiTheme="minorHAnsi" w:eastAsia="Arial" w:hAnsiTheme="minorHAnsi" w:cstheme="minorHAnsi"/>
                                <w:color w:val="000000"/>
                              </w:rPr>
                            </w:pPr>
                            <w:r>
                              <w:rPr>
                                <w:rFonts w:asciiTheme="minorHAnsi" w:eastAsia="Arial" w:hAnsiTheme="minorHAnsi" w:cstheme="minorHAnsi"/>
                                <w:color w:val="000000"/>
                              </w:rPr>
                              <w:t>Danny Efraín G</w:t>
                            </w:r>
                            <w:r w:rsidRPr="000406B4">
                              <w:rPr>
                                <w:rFonts w:asciiTheme="minorHAnsi" w:eastAsia="Arial" w:hAnsiTheme="minorHAnsi" w:cstheme="minorHAnsi"/>
                                <w:color w:val="000000"/>
                              </w:rPr>
                              <w:t>a</w:t>
                            </w:r>
                            <w:r>
                              <w:rPr>
                                <w:rFonts w:asciiTheme="minorHAnsi" w:eastAsia="Arial" w:hAnsiTheme="minorHAnsi" w:cstheme="minorHAnsi"/>
                                <w:color w:val="000000"/>
                              </w:rPr>
                              <w:t>rcí</w:t>
                            </w:r>
                            <w:r w:rsidRPr="000406B4">
                              <w:rPr>
                                <w:rFonts w:asciiTheme="minorHAnsi" w:eastAsia="Arial" w:hAnsiTheme="minorHAnsi" w:cstheme="minorHAnsi"/>
                                <w:color w:val="000000"/>
                              </w:rPr>
                              <w:t xml:space="preserve">a / Profesional Especializado /OAP - SDDE </w:t>
                            </w:r>
                          </w:p>
                          <w:p w14:paraId="7D501046" w14:textId="7CCDB639" w:rsidR="00D065EA" w:rsidRPr="000406B4" w:rsidRDefault="00D065EA">
                            <w:pPr>
                              <w:spacing w:after="0" w:line="240" w:lineRule="auto"/>
                              <w:jc w:val="both"/>
                              <w:textDirection w:val="btLr"/>
                              <w:rPr>
                                <w:rFonts w:asciiTheme="minorHAnsi" w:eastAsia="Arial" w:hAnsiTheme="minorHAnsi" w:cstheme="minorHAnsi"/>
                                <w:color w:val="000000"/>
                              </w:rPr>
                            </w:pPr>
                            <w:r w:rsidRPr="000406B4">
                              <w:rPr>
                                <w:rFonts w:asciiTheme="minorHAnsi" w:eastAsia="Arial" w:hAnsiTheme="minorHAnsi" w:cstheme="minorHAnsi"/>
                                <w:color w:val="000000"/>
                              </w:rPr>
                              <w:t>Juan Manuel Castro/ Contratista – SDDE</w:t>
                            </w:r>
                          </w:p>
                          <w:p w14:paraId="6FE0837A" w14:textId="15066E38" w:rsidR="00D065EA" w:rsidRDefault="00D065EA">
                            <w:pPr>
                              <w:spacing w:after="0" w:line="240" w:lineRule="auto"/>
                              <w:jc w:val="both"/>
                              <w:textDirection w:val="btLr"/>
                              <w:rPr>
                                <w:rFonts w:asciiTheme="minorHAnsi" w:eastAsia="Arial" w:hAnsiTheme="minorHAnsi" w:cstheme="minorHAnsi"/>
                                <w:color w:val="000000"/>
                              </w:rPr>
                            </w:pPr>
                            <w:r w:rsidRPr="000406B4">
                              <w:rPr>
                                <w:rFonts w:asciiTheme="minorHAnsi" w:eastAsia="Arial" w:hAnsiTheme="minorHAnsi" w:cstheme="minorHAnsi"/>
                                <w:color w:val="000000"/>
                              </w:rPr>
                              <w:t>Juliana Barreto/ Contratista – SDDE</w:t>
                            </w:r>
                          </w:p>
                          <w:p w14:paraId="75D223B2" w14:textId="565C24CC" w:rsidR="00D065EA" w:rsidRPr="000406B4" w:rsidRDefault="00D065EA">
                            <w:pPr>
                              <w:spacing w:after="0" w:line="240" w:lineRule="auto"/>
                              <w:jc w:val="both"/>
                              <w:textDirection w:val="btLr"/>
                              <w:rPr>
                                <w:rFonts w:asciiTheme="minorHAnsi" w:hAnsiTheme="minorHAnsi" w:cstheme="minorHAnsi"/>
                              </w:rPr>
                            </w:pPr>
                            <w:r w:rsidRPr="000406B4">
                              <w:rPr>
                                <w:rFonts w:asciiTheme="minorHAnsi" w:hAnsiTheme="minorHAnsi" w:cstheme="minorHAnsi"/>
                              </w:rPr>
                              <w:t>Andrés Benavides/ Director Competitividad</w:t>
                            </w:r>
                            <w:r>
                              <w:rPr>
                                <w:rFonts w:asciiTheme="minorHAnsi" w:hAnsiTheme="minorHAnsi" w:cstheme="minorHAnsi"/>
                              </w:rPr>
                              <w:t xml:space="preserve"> Bogotá-Región</w:t>
                            </w:r>
                          </w:p>
                          <w:p w14:paraId="47A2CF01" w14:textId="70C87C81" w:rsidR="00D065EA" w:rsidRPr="000406B4" w:rsidRDefault="00D065EA">
                            <w:pPr>
                              <w:spacing w:after="0" w:line="240" w:lineRule="auto"/>
                              <w:jc w:val="both"/>
                              <w:textDirection w:val="btLr"/>
                              <w:rPr>
                                <w:rFonts w:asciiTheme="minorHAnsi" w:hAnsiTheme="minorHAnsi" w:cstheme="minorHAnsi"/>
                              </w:rPr>
                            </w:pPr>
                            <w:r w:rsidRPr="000406B4">
                              <w:rPr>
                                <w:rFonts w:asciiTheme="minorHAnsi" w:hAnsiTheme="minorHAnsi" w:cstheme="minorHAnsi"/>
                              </w:rPr>
                              <w:t>Uriel Bayona/ Director Desarrollo Empresarial</w:t>
                            </w:r>
                            <w:r>
                              <w:rPr>
                                <w:rFonts w:asciiTheme="minorHAnsi" w:hAnsiTheme="minorHAnsi" w:cstheme="minorHAnsi"/>
                              </w:rPr>
                              <w:t xml:space="preserve"> y Empleo</w:t>
                            </w:r>
                          </w:p>
                          <w:p w14:paraId="1D9DDC66" w14:textId="7752A9FB" w:rsidR="00D065EA" w:rsidRPr="000406B4" w:rsidRDefault="00D065EA">
                            <w:pPr>
                              <w:spacing w:after="0" w:line="240" w:lineRule="auto"/>
                              <w:jc w:val="both"/>
                              <w:textDirection w:val="btLr"/>
                              <w:rPr>
                                <w:rFonts w:asciiTheme="minorHAnsi" w:hAnsiTheme="minorHAnsi" w:cstheme="minorHAnsi"/>
                              </w:rPr>
                            </w:pPr>
                            <w:r w:rsidRPr="000406B4">
                              <w:rPr>
                                <w:rFonts w:asciiTheme="minorHAnsi" w:hAnsiTheme="minorHAnsi" w:cstheme="minorHAnsi"/>
                              </w:rPr>
                              <w:t>Hugo Rojas/ Director Economía Rural</w:t>
                            </w:r>
                            <w:r>
                              <w:rPr>
                                <w:rFonts w:asciiTheme="minorHAnsi" w:hAnsiTheme="minorHAnsi" w:cstheme="minorHAnsi"/>
                              </w:rPr>
                              <w:t xml:space="preserve"> y Abastecimiento </w:t>
                            </w:r>
                          </w:p>
                          <w:p w14:paraId="66F1F4D6" w14:textId="6EECA4C6" w:rsidR="00D065EA" w:rsidRDefault="00D065EA">
                            <w:pPr>
                              <w:spacing w:after="0" w:line="240" w:lineRule="auto"/>
                              <w:jc w:val="both"/>
                              <w:textDirection w:val="btLr"/>
                              <w:rPr>
                                <w:rFonts w:asciiTheme="minorHAnsi" w:hAnsiTheme="minorHAnsi" w:cstheme="minorHAnsi"/>
                              </w:rPr>
                            </w:pPr>
                            <w:r w:rsidRPr="000406B4">
                              <w:rPr>
                                <w:rFonts w:asciiTheme="minorHAnsi" w:hAnsiTheme="minorHAnsi" w:cstheme="minorHAnsi"/>
                              </w:rPr>
                              <w:t>Mauricio Ospina/ Director Estudios</w:t>
                            </w:r>
                            <w:r>
                              <w:rPr>
                                <w:rFonts w:asciiTheme="minorHAnsi" w:hAnsiTheme="minorHAnsi" w:cstheme="minorHAnsi"/>
                              </w:rPr>
                              <w:t xml:space="preserve"> Económicos</w:t>
                            </w:r>
                          </w:p>
                          <w:p w14:paraId="57C2AA28" w14:textId="5DB568D0" w:rsidR="00D065EA" w:rsidRDefault="00D065EA">
                            <w:pPr>
                              <w:spacing w:after="0" w:line="240" w:lineRule="auto"/>
                              <w:jc w:val="both"/>
                              <w:textDirection w:val="btLr"/>
                              <w:rPr>
                                <w:rFonts w:asciiTheme="minorHAnsi" w:hAnsiTheme="minorHAnsi" w:cstheme="minorHAnsi"/>
                              </w:rPr>
                            </w:pPr>
                            <w:r>
                              <w:rPr>
                                <w:rFonts w:asciiTheme="minorHAnsi" w:hAnsiTheme="minorHAnsi" w:cstheme="minorHAnsi"/>
                              </w:rPr>
                              <w:t>Diego Bernal/ Director Gestión Corporativa</w:t>
                            </w:r>
                          </w:p>
                          <w:p w14:paraId="1382E9E1" w14:textId="146DB57B" w:rsidR="00D065EA" w:rsidRPr="000406B4" w:rsidRDefault="00D065EA">
                            <w:pPr>
                              <w:spacing w:after="0" w:line="240" w:lineRule="auto"/>
                              <w:jc w:val="both"/>
                              <w:textDirection w:val="btLr"/>
                              <w:rPr>
                                <w:rFonts w:asciiTheme="minorHAnsi" w:hAnsiTheme="minorHAnsi" w:cstheme="minorHAnsi"/>
                              </w:rPr>
                            </w:pPr>
                            <w:r>
                              <w:rPr>
                                <w:rFonts w:asciiTheme="minorHAnsi" w:hAnsiTheme="minorHAnsi" w:cstheme="minorHAnsi"/>
                              </w:rPr>
                              <w:t>Nora Fernanda Martínez/ Jefe OAJ - SDDE</w:t>
                            </w:r>
                          </w:p>
                          <w:p w14:paraId="3E2758FE" w14:textId="7D0700B5" w:rsidR="00D065EA" w:rsidRPr="000406B4" w:rsidRDefault="00D065EA">
                            <w:pPr>
                              <w:spacing w:after="0" w:line="240" w:lineRule="auto"/>
                              <w:jc w:val="both"/>
                              <w:textDirection w:val="btLr"/>
                              <w:rPr>
                                <w:rFonts w:asciiTheme="minorHAnsi" w:hAnsiTheme="minorHAnsi" w:cstheme="minorHAnsi"/>
                              </w:rPr>
                            </w:pPr>
                          </w:p>
                          <w:p w14:paraId="3100E67E" w14:textId="77777777" w:rsidR="00D065EA" w:rsidRDefault="00D065EA">
                            <w:pPr>
                              <w:spacing w:after="0" w:line="240" w:lineRule="auto"/>
                              <w:jc w:val="both"/>
                              <w:textDirection w:val="btLr"/>
                            </w:pPr>
                          </w:p>
                          <w:p w14:paraId="0A97499E" w14:textId="172BD855" w:rsidR="00D065EA" w:rsidRDefault="00D065EA">
                            <w:pPr>
                              <w:spacing w:after="0" w:line="240" w:lineRule="auto"/>
                              <w:jc w:val="both"/>
                              <w:textDirection w:val="btLr"/>
                            </w:pPr>
                            <w:r>
                              <w:rPr>
                                <w:rFonts w:ascii="Arial" w:eastAsia="Arial" w:hAnsi="Arial" w:cs="Arial"/>
                                <w:b/>
                                <w:color w:val="000000"/>
                              </w:rPr>
                              <w:t>Fecha de elaboración:</w:t>
                            </w:r>
                            <w:r>
                              <w:rPr>
                                <w:rFonts w:ascii="Arial" w:eastAsia="Arial" w:hAnsi="Arial" w:cs="Arial"/>
                                <w:color w:val="000000"/>
                              </w:rPr>
                              <w:t xml:space="preserve"> 20/10/2019</w:t>
                            </w:r>
                          </w:p>
                          <w:p w14:paraId="68EFDDB4" w14:textId="3B1FD53A" w:rsidR="00D065EA" w:rsidRDefault="00D065EA">
                            <w:pPr>
                              <w:spacing w:after="0" w:line="240" w:lineRule="auto"/>
                              <w:jc w:val="both"/>
                              <w:textDirection w:val="btLr"/>
                            </w:pPr>
                            <w:r>
                              <w:rPr>
                                <w:rFonts w:ascii="Arial" w:eastAsia="Arial" w:hAnsi="Arial" w:cs="Arial"/>
                                <w:b/>
                                <w:color w:val="000000"/>
                              </w:rPr>
                              <w:t>Fecha de publicación:</w:t>
                            </w:r>
                            <w:r>
                              <w:rPr>
                                <w:rFonts w:ascii="Arial" w:eastAsia="Arial" w:hAnsi="Arial" w:cs="Arial"/>
                                <w:color w:val="000000"/>
                              </w:rPr>
                              <w:t xml:space="preserve"> 30/10/2019</w:t>
                            </w:r>
                          </w:p>
                          <w:p w14:paraId="55194224" w14:textId="77777777" w:rsidR="00D065EA" w:rsidRDefault="00D065EA">
                            <w:pPr>
                              <w:spacing w:after="0" w:line="240" w:lineRule="auto"/>
                              <w:jc w:val="both"/>
                              <w:textDirection w:val="btLr"/>
                            </w:pPr>
                          </w:p>
                          <w:p w14:paraId="450B53AB" w14:textId="77777777" w:rsidR="00D065EA" w:rsidRDefault="00D065EA">
                            <w:pPr>
                              <w:spacing w:after="0" w:line="240" w:lineRule="auto"/>
                              <w:jc w:val="both"/>
                              <w:textDirection w:val="btLr"/>
                            </w:pPr>
                            <w:r>
                              <w:rPr>
                                <w:rFonts w:ascii="Arial" w:eastAsia="Arial" w:hAnsi="Arial" w:cs="Arial"/>
                                <w:b/>
                                <w:color w:val="000000"/>
                                <w:sz w:val="20"/>
                              </w:rPr>
                              <w:t>Secretaría Distrital de Desarrollo Económico</w:t>
                            </w:r>
                          </w:p>
                          <w:p w14:paraId="5E9592DF" w14:textId="4350D9BA" w:rsidR="00D065EA" w:rsidRDefault="00D065EA">
                            <w:pPr>
                              <w:spacing w:after="0" w:line="240" w:lineRule="auto"/>
                              <w:jc w:val="both"/>
                              <w:textDirection w:val="btLr"/>
                            </w:pPr>
                            <w:r>
                              <w:rPr>
                                <w:rFonts w:ascii="Arial" w:eastAsia="Arial" w:hAnsi="Arial" w:cs="Arial"/>
                                <w:color w:val="000000"/>
                                <w:sz w:val="20"/>
                              </w:rPr>
                              <w:t xml:space="preserve">Vigencia 2016- 2019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E2E2C7" id="575 Rectángulo" o:spid="_x0000_s1057" style="position:absolute;margin-left:145.95pt;margin-top:.25pt;width:333.75pt;height:4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3c5QEAAKsDAAAOAAAAZHJzL2Uyb0RvYy54bWysU9uO2yAQfa/Uf0C8N75skk2tOKtqV6kq&#10;rdpot/0AgiFGwgwFEjuf02/pj3XA3mzavlV9wTPMcJhzOF7fDZ0mJ+G8AlPTYpZTIgyHRplDTb99&#10;3b5bUeIDMw3TYERNz8LTu83bN+veVqKEFnQjHEEQ46ve1rQNwVZZ5nkrOuZnYIXBogTXsYCpO2SN&#10;Yz2idzor83yZ9eAa64AL73H3YSzSTcKXUvDwRUovAtE1xdlCWl1a93HNNmtWHRyzreLTGOwfpuiY&#10;MnjpBeqBBUaOTv0F1SnuwIMMMw5dBlIqLhIHZFPkf7B5bpkViQuK4+1FJv//YPnn084R1dR0cbug&#10;xLAOHwlD8oTS/fxhDkcNUaTe+gp7n+3OTZnHMDIepOviF7mQIQl7vggrhkA4bs7Lm9WyRHyOtcVy&#10;ma/Km4iavR63zoePAjoSg5o6vD4Jyk6PPoytLy3xNg9aNVuldUqiW8S9duTE8J11KCbw37q0ib0G&#10;4qkRMO5kkdnIJUZh2A9JjrJ8ob2H5owaecu3Cmd7ZD7smEOXFJT06Jya+u9H5gQl+pPBp3lfzCPV&#10;kJL54jZH37nryv66wgxvAQ0ZKBnD+5DsOc764RhAqsQ/TjeOMg2NjkgKTu6NlrvOU9frP7b5BQAA&#10;//8DAFBLAwQUAAYACAAAACEAS3ZcXN0AAAAIAQAADwAAAGRycy9kb3ducmV2LnhtbEyPwU7DMBBE&#10;70j8g7VI3KjTqEV1yKZCSL0hKgqoVzfexmnjdRS7afh7zAmOoxnNvCnXk+vESENoPSPMZxkI4tqb&#10;lhuEz4/NwwpEiJqN7jwTwjcFWFe3N6UujL/yO4272IhUwqHQCDbGvpAy1JacDjPfEyfv6AenY5JD&#10;I82gr6ncdTLPskfpdMtpweqeXizV593FIbwuwva0odFu9/s69m/R+q/zhHh/Nz0/gYg0xb8w/OIn&#10;dKgS08Ff2ATRIeRqrlIUYQki2WqpFiAOCCuVZyCrUv4/UP0AAAD//wMAUEsBAi0AFAAGAAgAAAAh&#10;ALaDOJL+AAAA4QEAABMAAAAAAAAAAAAAAAAAAAAAAFtDb250ZW50X1R5cGVzXS54bWxQSwECLQAU&#10;AAYACAAAACEAOP0h/9YAAACUAQAACwAAAAAAAAAAAAAAAAAvAQAAX3JlbHMvLnJlbHNQSwECLQAU&#10;AAYACAAAACEAjTFN3OUBAACrAwAADgAAAAAAAAAAAAAAAAAuAgAAZHJzL2Uyb0RvYy54bWxQSwEC&#10;LQAUAAYACAAAACEAS3ZcXN0AAAAIAQAADwAAAAAAAAAAAAAAAAA/BAAAZHJzL2Rvd25yZXYueG1s&#10;UEsFBgAAAAAEAAQA8wAAAEkFAAAAAA==&#10;" fillcolor="white [3201]" stroked="f">
                <v:textbox inset="2.53958mm,1.2694mm,2.53958mm,1.2694mm">
                  <w:txbxContent>
                    <w:p w14:paraId="59DE6027" w14:textId="77777777" w:rsidR="00D065EA" w:rsidRPr="000406B4" w:rsidRDefault="00D065EA">
                      <w:pPr>
                        <w:spacing w:after="0" w:line="240" w:lineRule="auto"/>
                        <w:jc w:val="both"/>
                        <w:textDirection w:val="btLr"/>
                        <w:rPr>
                          <w:rFonts w:asciiTheme="minorHAnsi" w:hAnsiTheme="minorHAnsi" w:cstheme="minorHAnsi"/>
                        </w:rPr>
                      </w:pPr>
                      <w:r w:rsidRPr="000406B4">
                        <w:rPr>
                          <w:rFonts w:asciiTheme="minorHAnsi" w:eastAsia="Arial" w:hAnsiTheme="minorHAnsi" w:cstheme="minorHAnsi"/>
                          <w:b/>
                          <w:color w:val="000000"/>
                        </w:rPr>
                        <w:t xml:space="preserve">Informe Diagnóstico Sectorial: Sector Desarrollo Económico. </w:t>
                      </w:r>
                    </w:p>
                    <w:p w14:paraId="13A069B2" w14:textId="77777777" w:rsidR="00D065EA" w:rsidRPr="000406B4" w:rsidRDefault="00D065EA">
                      <w:pPr>
                        <w:spacing w:after="0" w:line="240" w:lineRule="auto"/>
                        <w:jc w:val="both"/>
                        <w:textDirection w:val="btLr"/>
                        <w:rPr>
                          <w:rFonts w:asciiTheme="minorHAnsi" w:hAnsiTheme="minorHAnsi" w:cstheme="minorHAnsi"/>
                        </w:rPr>
                      </w:pPr>
                      <w:r w:rsidRPr="000406B4">
                        <w:rPr>
                          <w:rFonts w:asciiTheme="minorHAnsi" w:eastAsia="Arial" w:hAnsiTheme="minorHAnsi" w:cstheme="minorHAnsi"/>
                          <w:color w:val="000000"/>
                        </w:rPr>
                        <w:t>Bogotá mejor para todos</w:t>
                      </w:r>
                    </w:p>
                    <w:p w14:paraId="0C03878A" w14:textId="77777777" w:rsidR="00D065EA" w:rsidRPr="000406B4" w:rsidRDefault="00D065EA">
                      <w:pPr>
                        <w:spacing w:after="0" w:line="240" w:lineRule="auto"/>
                        <w:jc w:val="both"/>
                        <w:textDirection w:val="btLr"/>
                        <w:rPr>
                          <w:rFonts w:asciiTheme="minorHAnsi" w:hAnsiTheme="minorHAnsi" w:cstheme="minorHAnsi"/>
                        </w:rPr>
                      </w:pPr>
                    </w:p>
                    <w:p w14:paraId="31FE673D" w14:textId="17B983B2" w:rsidR="00D065EA" w:rsidRDefault="00D065EA" w:rsidP="00705B98">
                      <w:pPr>
                        <w:spacing w:after="0" w:line="240" w:lineRule="auto"/>
                        <w:jc w:val="both"/>
                        <w:textDirection w:val="btLr"/>
                        <w:rPr>
                          <w:rFonts w:asciiTheme="minorHAnsi" w:hAnsiTheme="minorHAnsi" w:cstheme="minorHAnsi"/>
                        </w:rPr>
                      </w:pPr>
                      <w:r w:rsidRPr="000406B4">
                        <w:rPr>
                          <w:rFonts w:asciiTheme="minorHAnsi" w:eastAsia="Arial" w:hAnsiTheme="minorHAnsi" w:cstheme="minorHAnsi"/>
                          <w:b/>
                          <w:color w:val="000000"/>
                        </w:rPr>
                        <w:t xml:space="preserve">Aprobado: </w:t>
                      </w:r>
                      <w:r w:rsidRPr="000406B4">
                        <w:rPr>
                          <w:rFonts w:asciiTheme="minorHAnsi" w:hAnsiTheme="minorHAnsi" w:cstheme="minorHAnsi"/>
                        </w:rPr>
                        <w:t>José Andrés Duarte García/ Secretario SDDE</w:t>
                      </w:r>
                    </w:p>
                    <w:p w14:paraId="19F34C12" w14:textId="77777777" w:rsidR="00D065EA" w:rsidRDefault="00D065EA" w:rsidP="000406B4">
                      <w:pPr>
                        <w:spacing w:after="0" w:line="240" w:lineRule="auto"/>
                        <w:jc w:val="both"/>
                        <w:textDirection w:val="btLr"/>
                        <w:rPr>
                          <w:rFonts w:asciiTheme="minorHAnsi" w:eastAsia="Arial" w:hAnsiTheme="minorHAnsi" w:cstheme="minorHAnsi"/>
                          <w:b/>
                          <w:color w:val="000000"/>
                        </w:rPr>
                      </w:pPr>
                    </w:p>
                    <w:p w14:paraId="1396E825" w14:textId="27F55E17" w:rsidR="00D065EA" w:rsidRPr="000406B4" w:rsidRDefault="00D065EA" w:rsidP="000406B4">
                      <w:pPr>
                        <w:spacing w:after="0" w:line="240" w:lineRule="auto"/>
                        <w:jc w:val="both"/>
                        <w:textDirection w:val="btLr"/>
                        <w:rPr>
                          <w:rFonts w:asciiTheme="minorHAnsi" w:hAnsiTheme="minorHAnsi" w:cstheme="minorHAnsi"/>
                        </w:rPr>
                      </w:pPr>
                      <w:r w:rsidRPr="000406B4">
                        <w:rPr>
                          <w:rFonts w:asciiTheme="minorHAnsi" w:eastAsia="Arial" w:hAnsiTheme="minorHAnsi" w:cstheme="minorHAnsi"/>
                          <w:b/>
                          <w:color w:val="000000"/>
                        </w:rPr>
                        <w:t>Revisado:</w:t>
                      </w:r>
                      <w:r w:rsidRPr="000406B4">
                        <w:rPr>
                          <w:rFonts w:asciiTheme="minorHAnsi" w:eastAsia="Arial" w:hAnsiTheme="minorHAnsi" w:cstheme="minorHAnsi"/>
                          <w:color w:val="000000"/>
                        </w:rPr>
                        <w:t xml:space="preserve"> </w:t>
                      </w:r>
                      <w:r w:rsidRPr="000406B4">
                        <w:rPr>
                          <w:rFonts w:asciiTheme="minorHAnsi" w:hAnsiTheme="minorHAnsi" w:cstheme="minorHAnsi"/>
                        </w:rPr>
                        <w:t xml:space="preserve">Felipe </w:t>
                      </w:r>
                      <w:r>
                        <w:rPr>
                          <w:rFonts w:asciiTheme="minorHAnsi" w:hAnsiTheme="minorHAnsi" w:cstheme="minorHAnsi"/>
                        </w:rPr>
                        <w:t xml:space="preserve">José </w:t>
                      </w:r>
                      <w:r w:rsidRPr="000406B4">
                        <w:rPr>
                          <w:rFonts w:asciiTheme="minorHAnsi" w:hAnsiTheme="minorHAnsi" w:cstheme="minorHAnsi"/>
                        </w:rPr>
                        <w:t>Valencia</w:t>
                      </w:r>
                      <w:r w:rsidR="00D16C3E">
                        <w:rPr>
                          <w:rFonts w:asciiTheme="minorHAnsi" w:hAnsiTheme="minorHAnsi" w:cstheme="minorHAnsi"/>
                        </w:rPr>
                        <w:t xml:space="preserve"> Bitar</w:t>
                      </w:r>
                      <w:r w:rsidRPr="000406B4">
                        <w:rPr>
                          <w:rFonts w:asciiTheme="minorHAnsi" w:hAnsiTheme="minorHAnsi" w:cstheme="minorHAnsi"/>
                        </w:rPr>
                        <w:t>/ Subsecretario SDDE</w:t>
                      </w:r>
                    </w:p>
                    <w:p w14:paraId="1F548113" w14:textId="34292DC9" w:rsidR="00D065EA" w:rsidRPr="000406B4" w:rsidRDefault="00227617" w:rsidP="000406B4">
                      <w:pPr>
                        <w:spacing w:after="0" w:line="240" w:lineRule="auto"/>
                        <w:jc w:val="both"/>
                        <w:textDirection w:val="btLr"/>
                        <w:rPr>
                          <w:rFonts w:asciiTheme="minorHAnsi" w:hAnsiTheme="minorHAnsi" w:cstheme="minorHAnsi"/>
                        </w:rPr>
                      </w:pPr>
                      <w:r>
                        <w:rPr>
                          <w:rFonts w:asciiTheme="minorHAnsi" w:hAnsiTheme="minorHAnsi" w:cstheme="minorHAnsi"/>
                        </w:rPr>
                        <w:t>Pedro</w:t>
                      </w:r>
                      <w:r w:rsidR="00D065EA">
                        <w:rPr>
                          <w:rFonts w:asciiTheme="minorHAnsi" w:hAnsiTheme="minorHAnsi" w:cstheme="minorHAnsi"/>
                        </w:rPr>
                        <w:t xml:space="preserve"> José Portilla Ubate</w:t>
                      </w:r>
                      <w:r w:rsidR="00D065EA" w:rsidRPr="000406B4">
                        <w:rPr>
                          <w:rFonts w:asciiTheme="minorHAnsi" w:hAnsiTheme="minorHAnsi" w:cstheme="minorHAnsi"/>
                        </w:rPr>
                        <w:t xml:space="preserve">/ </w:t>
                      </w:r>
                      <w:r w:rsidR="00D065EA">
                        <w:rPr>
                          <w:rFonts w:asciiTheme="minorHAnsi" w:hAnsiTheme="minorHAnsi" w:cstheme="minorHAnsi"/>
                        </w:rPr>
                        <w:t>Jefe OAP</w:t>
                      </w:r>
                    </w:p>
                    <w:p w14:paraId="5AC21A46" w14:textId="77777777" w:rsidR="00D065EA" w:rsidRPr="000406B4" w:rsidRDefault="00D065EA" w:rsidP="00D43310">
                      <w:pPr>
                        <w:spacing w:after="0" w:line="240" w:lineRule="auto"/>
                        <w:jc w:val="both"/>
                        <w:textDirection w:val="btLr"/>
                        <w:rPr>
                          <w:rFonts w:asciiTheme="minorHAnsi" w:hAnsiTheme="minorHAnsi" w:cstheme="minorHAnsi"/>
                        </w:rPr>
                      </w:pPr>
                    </w:p>
                    <w:p w14:paraId="2FEB6E3B" w14:textId="48E4A74D" w:rsidR="00D065EA" w:rsidRPr="000406B4" w:rsidRDefault="00D065EA">
                      <w:pPr>
                        <w:spacing w:after="0" w:line="240" w:lineRule="auto"/>
                        <w:jc w:val="both"/>
                        <w:textDirection w:val="btLr"/>
                        <w:rPr>
                          <w:rFonts w:asciiTheme="minorHAnsi" w:hAnsiTheme="minorHAnsi" w:cstheme="minorHAnsi"/>
                        </w:rPr>
                      </w:pPr>
                      <w:r w:rsidRPr="000406B4">
                        <w:rPr>
                          <w:rFonts w:asciiTheme="minorHAnsi" w:eastAsia="Arial" w:hAnsiTheme="minorHAnsi" w:cstheme="minorHAnsi"/>
                          <w:b/>
                          <w:color w:val="000000"/>
                        </w:rPr>
                        <w:t>Elaborado por:</w:t>
                      </w:r>
                      <w:r w:rsidRPr="000406B4">
                        <w:rPr>
                          <w:rFonts w:asciiTheme="minorHAnsi" w:eastAsia="Arial" w:hAnsiTheme="minorHAnsi" w:cstheme="minorHAnsi"/>
                          <w:color w:val="000000"/>
                        </w:rPr>
                        <w:t xml:space="preserve"> </w:t>
                      </w:r>
                    </w:p>
                    <w:p w14:paraId="75F09DE7" w14:textId="687F04A1" w:rsidR="00D065EA" w:rsidRPr="000406B4" w:rsidRDefault="00D065EA">
                      <w:pPr>
                        <w:spacing w:after="0" w:line="240" w:lineRule="auto"/>
                        <w:jc w:val="both"/>
                        <w:textDirection w:val="btLr"/>
                        <w:rPr>
                          <w:rFonts w:asciiTheme="minorHAnsi" w:hAnsiTheme="minorHAnsi" w:cstheme="minorHAnsi"/>
                        </w:rPr>
                      </w:pPr>
                      <w:r>
                        <w:rPr>
                          <w:rFonts w:asciiTheme="minorHAnsi" w:eastAsia="Arial" w:hAnsiTheme="minorHAnsi" w:cstheme="minorHAnsi"/>
                          <w:color w:val="000000"/>
                        </w:rPr>
                        <w:t>Manuela Gómez Saiz/ Contratista –</w:t>
                      </w:r>
                      <w:r w:rsidRPr="000406B4">
                        <w:rPr>
                          <w:rFonts w:asciiTheme="minorHAnsi" w:eastAsia="Arial" w:hAnsiTheme="minorHAnsi" w:cstheme="minorHAnsi"/>
                          <w:color w:val="000000"/>
                        </w:rPr>
                        <w:t xml:space="preserve"> </w:t>
                      </w:r>
                      <w:r>
                        <w:rPr>
                          <w:rFonts w:asciiTheme="minorHAnsi" w:eastAsia="Arial" w:hAnsiTheme="minorHAnsi" w:cstheme="minorHAnsi"/>
                          <w:color w:val="000000"/>
                        </w:rPr>
                        <w:t>OAP-</w:t>
                      </w:r>
                      <w:r w:rsidRPr="000406B4">
                        <w:rPr>
                          <w:rFonts w:asciiTheme="minorHAnsi" w:eastAsia="Arial" w:hAnsiTheme="minorHAnsi" w:cstheme="minorHAnsi"/>
                          <w:color w:val="000000"/>
                        </w:rPr>
                        <w:t>SDDE</w:t>
                      </w:r>
                    </w:p>
                    <w:p w14:paraId="6879921F" w14:textId="60B10CC5" w:rsidR="00D065EA" w:rsidRDefault="00D065EA">
                      <w:pPr>
                        <w:spacing w:after="0" w:line="240" w:lineRule="auto"/>
                        <w:jc w:val="both"/>
                        <w:textDirection w:val="btLr"/>
                        <w:rPr>
                          <w:rFonts w:asciiTheme="minorHAnsi" w:eastAsia="Arial" w:hAnsiTheme="minorHAnsi" w:cstheme="minorHAnsi"/>
                          <w:color w:val="000000"/>
                        </w:rPr>
                      </w:pPr>
                      <w:r w:rsidRPr="000406B4">
                        <w:rPr>
                          <w:rFonts w:asciiTheme="minorHAnsi" w:eastAsia="Arial" w:hAnsiTheme="minorHAnsi" w:cstheme="minorHAnsi"/>
                          <w:color w:val="000000"/>
                        </w:rPr>
                        <w:t xml:space="preserve">Sebastián Moreno Chaves/ </w:t>
                      </w:r>
                      <w:r>
                        <w:rPr>
                          <w:rFonts w:asciiTheme="minorHAnsi" w:eastAsia="Arial" w:hAnsiTheme="minorHAnsi" w:cstheme="minorHAnsi"/>
                          <w:color w:val="000000"/>
                        </w:rPr>
                        <w:t>Contratista –</w:t>
                      </w:r>
                      <w:r w:rsidRPr="000406B4">
                        <w:rPr>
                          <w:rFonts w:asciiTheme="minorHAnsi" w:eastAsia="Arial" w:hAnsiTheme="minorHAnsi" w:cstheme="minorHAnsi"/>
                          <w:color w:val="000000"/>
                        </w:rPr>
                        <w:t xml:space="preserve"> </w:t>
                      </w:r>
                      <w:r>
                        <w:rPr>
                          <w:rFonts w:asciiTheme="minorHAnsi" w:eastAsia="Arial" w:hAnsiTheme="minorHAnsi" w:cstheme="minorHAnsi"/>
                          <w:color w:val="000000"/>
                        </w:rPr>
                        <w:t>OAP-</w:t>
                      </w:r>
                      <w:r w:rsidRPr="000406B4">
                        <w:rPr>
                          <w:rFonts w:asciiTheme="minorHAnsi" w:eastAsia="Arial" w:hAnsiTheme="minorHAnsi" w:cstheme="minorHAnsi"/>
                          <w:color w:val="000000"/>
                        </w:rPr>
                        <w:t>SDDE</w:t>
                      </w:r>
                    </w:p>
                    <w:p w14:paraId="1204506F" w14:textId="7A543ED5" w:rsidR="00D065EA" w:rsidRPr="000406B4" w:rsidRDefault="00D065EA">
                      <w:pPr>
                        <w:spacing w:after="0" w:line="240" w:lineRule="auto"/>
                        <w:jc w:val="both"/>
                        <w:textDirection w:val="btLr"/>
                        <w:rPr>
                          <w:rFonts w:asciiTheme="minorHAnsi" w:eastAsia="Arial" w:hAnsiTheme="minorHAnsi" w:cstheme="minorHAnsi"/>
                          <w:color w:val="000000"/>
                        </w:rPr>
                      </w:pPr>
                      <w:r>
                        <w:rPr>
                          <w:rFonts w:asciiTheme="minorHAnsi" w:eastAsia="Arial" w:hAnsiTheme="minorHAnsi" w:cstheme="minorHAnsi"/>
                          <w:color w:val="000000"/>
                        </w:rPr>
                        <w:t>Danny Efraín G</w:t>
                      </w:r>
                      <w:r w:rsidRPr="000406B4">
                        <w:rPr>
                          <w:rFonts w:asciiTheme="minorHAnsi" w:eastAsia="Arial" w:hAnsiTheme="minorHAnsi" w:cstheme="minorHAnsi"/>
                          <w:color w:val="000000"/>
                        </w:rPr>
                        <w:t>a</w:t>
                      </w:r>
                      <w:r>
                        <w:rPr>
                          <w:rFonts w:asciiTheme="minorHAnsi" w:eastAsia="Arial" w:hAnsiTheme="minorHAnsi" w:cstheme="minorHAnsi"/>
                          <w:color w:val="000000"/>
                        </w:rPr>
                        <w:t>rcí</w:t>
                      </w:r>
                      <w:r w:rsidRPr="000406B4">
                        <w:rPr>
                          <w:rFonts w:asciiTheme="minorHAnsi" w:eastAsia="Arial" w:hAnsiTheme="minorHAnsi" w:cstheme="minorHAnsi"/>
                          <w:color w:val="000000"/>
                        </w:rPr>
                        <w:t xml:space="preserve">a / Profesional Especializado /OAP - SDDE </w:t>
                      </w:r>
                    </w:p>
                    <w:p w14:paraId="7D501046" w14:textId="7CCDB639" w:rsidR="00D065EA" w:rsidRPr="000406B4" w:rsidRDefault="00D065EA">
                      <w:pPr>
                        <w:spacing w:after="0" w:line="240" w:lineRule="auto"/>
                        <w:jc w:val="both"/>
                        <w:textDirection w:val="btLr"/>
                        <w:rPr>
                          <w:rFonts w:asciiTheme="minorHAnsi" w:eastAsia="Arial" w:hAnsiTheme="minorHAnsi" w:cstheme="minorHAnsi"/>
                          <w:color w:val="000000"/>
                        </w:rPr>
                      </w:pPr>
                      <w:r w:rsidRPr="000406B4">
                        <w:rPr>
                          <w:rFonts w:asciiTheme="minorHAnsi" w:eastAsia="Arial" w:hAnsiTheme="minorHAnsi" w:cstheme="minorHAnsi"/>
                          <w:color w:val="000000"/>
                        </w:rPr>
                        <w:t>Juan Manuel Castro/ Contratista – SDDE</w:t>
                      </w:r>
                    </w:p>
                    <w:p w14:paraId="6FE0837A" w14:textId="15066E38" w:rsidR="00D065EA" w:rsidRDefault="00D065EA">
                      <w:pPr>
                        <w:spacing w:after="0" w:line="240" w:lineRule="auto"/>
                        <w:jc w:val="both"/>
                        <w:textDirection w:val="btLr"/>
                        <w:rPr>
                          <w:rFonts w:asciiTheme="minorHAnsi" w:eastAsia="Arial" w:hAnsiTheme="minorHAnsi" w:cstheme="minorHAnsi"/>
                          <w:color w:val="000000"/>
                        </w:rPr>
                      </w:pPr>
                      <w:r w:rsidRPr="000406B4">
                        <w:rPr>
                          <w:rFonts w:asciiTheme="minorHAnsi" w:eastAsia="Arial" w:hAnsiTheme="minorHAnsi" w:cstheme="minorHAnsi"/>
                          <w:color w:val="000000"/>
                        </w:rPr>
                        <w:t>Juliana Barreto/ Contratista – SDDE</w:t>
                      </w:r>
                    </w:p>
                    <w:p w14:paraId="75D223B2" w14:textId="565C24CC" w:rsidR="00D065EA" w:rsidRPr="000406B4" w:rsidRDefault="00D065EA">
                      <w:pPr>
                        <w:spacing w:after="0" w:line="240" w:lineRule="auto"/>
                        <w:jc w:val="both"/>
                        <w:textDirection w:val="btLr"/>
                        <w:rPr>
                          <w:rFonts w:asciiTheme="minorHAnsi" w:hAnsiTheme="minorHAnsi" w:cstheme="minorHAnsi"/>
                        </w:rPr>
                      </w:pPr>
                      <w:bookmarkStart w:id="1" w:name="_GoBack"/>
                      <w:bookmarkEnd w:id="1"/>
                      <w:r w:rsidRPr="000406B4">
                        <w:rPr>
                          <w:rFonts w:asciiTheme="minorHAnsi" w:hAnsiTheme="minorHAnsi" w:cstheme="minorHAnsi"/>
                        </w:rPr>
                        <w:t>Andrés Benavides/ Director Competitividad</w:t>
                      </w:r>
                      <w:r>
                        <w:rPr>
                          <w:rFonts w:asciiTheme="minorHAnsi" w:hAnsiTheme="minorHAnsi" w:cstheme="minorHAnsi"/>
                        </w:rPr>
                        <w:t xml:space="preserve"> Bogotá-Región</w:t>
                      </w:r>
                    </w:p>
                    <w:p w14:paraId="47A2CF01" w14:textId="70C87C81" w:rsidR="00D065EA" w:rsidRPr="000406B4" w:rsidRDefault="00D065EA">
                      <w:pPr>
                        <w:spacing w:after="0" w:line="240" w:lineRule="auto"/>
                        <w:jc w:val="both"/>
                        <w:textDirection w:val="btLr"/>
                        <w:rPr>
                          <w:rFonts w:asciiTheme="minorHAnsi" w:hAnsiTheme="minorHAnsi" w:cstheme="minorHAnsi"/>
                        </w:rPr>
                      </w:pPr>
                      <w:r w:rsidRPr="000406B4">
                        <w:rPr>
                          <w:rFonts w:asciiTheme="minorHAnsi" w:hAnsiTheme="minorHAnsi" w:cstheme="minorHAnsi"/>
                        </w:rPr>
                        <w:t>Uriel Bayona/ Director Desarrollo Empresarial</w:t>
                      </w:r>
                      <w:r>
                        <w:rPr>
                          <w:rFonts w:asciiTheme="minorHAnsi" w:hAnsiTheme="minorHAnsi" w:cstheme="minorHAnsi"/>
                        </w:rPr>
                        <w:t xml:space="preserve"> y Empleo</w:t>
                      </w:r>
                    </w:p>
                    <w:p w14:paraId="1D9DDC66" w14:textId="7752A9FB" w:rsidR="00D065EA" w:rsidRPr="000406B4" w:rsidRDefault="00D065EA">
                      <w:pPr>
                        <w:spacing w:after="0" w:line="240" w:lineRule="auto"/>
                        <w:jc w:val="both"/>
                        <w:textDirection w:val="btLr"/>
                        <w:rPr>
                          <w:rFonts w:asciiTheme="minorHAnsi" w:hAnsiTheme="minorHAnsi" w:cstheme="minorHAnsi"/>
                        </w:rPr>
                      </w:pPr>
                      <w:r w:rsidRPr="000406B4">
                        <w:rPr>
                          <w:rFonts w:asciiTheme="minorHAnsi" w:hAnsiTheme="minorHAnsi" w:cstheme="minorHAnsi"/>
                        </w:rPr>
                        <w:t>Hugo Rojas/ Director Economía Rural</w:t>
                      </w:r>
                      <w:r>
                        <w:rPr>
                          <w:rFonts w:asciiTheme="minorHAnsi" w:hAnsiTheme="minorHAnsi" w:cstheme="minorHAnsi"/>
                        </w:rPr>
                        <w:t xml:space="preserve"> y Abastecimiento </w:t>
                      </w:r>
                    </w:p>
                    <w:p w14:paraId="66F1F4D6" w14:textId="6EECA4C6" w:rsidR="00D065EA" w:rsidRDefault="00D065EA">
                      <w:pPr>
                        <w:spacing w:after="0" w:line="240" w:lineRule="auto"/>
                        <w:jc w:val="both"/>
                        <w:textDirection w:val="btLr"/>
                        <w:rPr>
                          <w:rFonts w:asciiTheme="minorHAnsi" w:hAnsiTheme="minorHAnsi" w:cstheme="minorHAnsi"/>
                        </w:rPr>
                      </w:pPr>
                      <w:r w:rsidRPr="000406B4">
                        <w:rPr>
                          <w:rFonts w:asciiTheme="minorHAnsi" w:hAnsiTheme="minorHAnsi" w:cstheme="minorHAnsi"/>
                        </w:rPr>
                        <w:t>Mauricio Ospina/ Director Estudios</w:t>
                      </w:r>
                      <w:r>
                        <w:rPr>
                          <w:rFonts w:asciiTheme="minorHAnsi" w:hAnsiTheme="minorHAnsi" w:cstheme="minorHAnsi"/>
                        </w:rPr>
                        <w:t xml:space="preserve"> Económicos</w:t>
                      </w:r>
                    </w:p>
                    <w:p w14:paraId="57C2AA28" w14:textId="5DB568D0" w:rsidR="00D065EA" w:rsidRDefault="00D065EA">
                      <w:pPr>
                        <w:spacing w:after="0" w:line="240" w:lineRule="auto"/>
                        <w:jc w:val="both"/>
                        <w:textDirection w:val="btLr"/>
                        <w:rPr>
                          <w:rFonts w:asciiTheme="minorHAnsi" w:hAnsiTheme="minorHAnsi" w:cstheme="minorHAnsi"/>
                        </w:rPr>
                      </w:pPr>
                      <w:r>
                        <w:rPr>
                          <w:rFonts w:asciiTheme="minorHAnsi" w:hAnsiTheme="minorHAnsi" w:cstheme="minorHAnsi"/>
                        </w:rPr>
                        <w:t>Diego Bernal/ Director Gestión Corporativa</w:t>
                      </w:r>
                    </w:p>
                    <w:p w14:paraId="1382E9E1" w14:textId="146DB57B" w:rsidR="00D065EA" w:rsidRPr="000406B4" w:rsidRDefault="00D065EA">
                      <w:pPr>
                        <w:spacing w:after="0" w:line="240" w:lineRule="auto"/>
                        <w:jc w:val="both"/>
                        <w:textDirection w:val="btLr"/>
                        <w:rPr>
                          <w:rFonts w:asciiTheme="minorHAnsi" w:hAnsiTheme="minorHAnsi" w:cstheme="minorHAnsi"/>
                        </w:rPr>
                      </w:pPr>
                      <w:r>
                        <w:rPr>
                          <w:rFonts w:asciiTheme="minorHAnsi" w:hAnsiTheme="minorHAnsi" w:cstheme="minorHAnsi"/>
                        </w:rPr>
                        <w:t>Nora Fernanda Martínez/ Jefe OAJ - SDDE</w:t>
                      </w:r>
                    </w:p>
                    <w:p w14:paraId="3E2758FE" w14:textId="7D0700B5" w:rsidR="00D065EA" w:rsidRPr="000406B4" w:rsidRDefault="00D065EA">
                      <w:pPr>
                        <w:spacing w:after="0" w:line="240" w:lineRule="auto"/>
                        <w:jc w:val="both"/>
                        <w:textDirection w:val="btLr"/>
                        <w:rPr>
                          <w:rFonts w:asciiTheme="minorHAnsi" w:hAnsiTheme="minorHAnsi" w:cstheme="minorHAnsi"/>
                        </w:rPr>
                      </w:pPr>
                    </w:p>
                    <w:p w14:paraId="3100E67E" w14:textId="77777777" w:rsidR="00D065EA" w:rsidRDefault="00D065EA">
                      <w:pPr>
                        <w:spacing w:after="0" w:line="240" w:lineRule="auto"/>
                        <w:jc w:val="both"/>
                        <w:textDirection w:val="btLr"/>
                      </w:pPr>
                    </w:p>
                    <w:p w14:paraId="0A97499E" w14:textId="172BD855" w:rsidR="00D065EA" w:rsidRDefault="00D065EA">
                      <w:pPr>
                        <w:spacing w:after="0" w:line="240" w:lineRule="auto"/>
                        <w:jc w:val="both"/>
                        <w:textDirection w:val="btLr"/>
                      </w:pPr>
                      <w:r>
                        <w:rPr>
                          <w:rFonts w:ascii="Arial" w:eastAsia="Arial" w:hAnsi="Arial" w:cs="Arial"/>
                          <w:b/>
                          <w:color w:val="000000"/>
                        </w:rPr>
                        <w:t>Fecha de elaboración:</w:t>
                      </w:r>
                      <w:r>
                        <w:rPr>
                          <w:rFonts w:ascii="Arial" w:eastAsia="Arial" w:hAnsi="Arial" w:cs="Arial"/>
                          <w:color w:val="000000"/>
                        </w:rPr>
                        <w:t xml:space="preserve"> 20/10/2019</w:t>
                      </w:r>
                    </w:p>
                    <w:p w14:paraId="68EFDDB4" w14:textId="3B1FD53A" w:rsidR="00D065EA" w:rsidRDefault="00D065EA">
                      <w:pPr>
                        <w:spacing w:after="0" w:line="240" w:lineRule="auto"/>
                        <w:jc w:val="both"/>
                        <w:textDirection w:val="btLr"/>
                      </w:pPr>
                      <w:r>
                        <w:rPr>
                          <w:rFonts w:ascii="Arial" w:eastAsia="Arial" w:hAnsi="Arial" w:cs="Arial"/>
                          <w:b/>
                          <w:color w:val="000000"/>
                        </w:rPr>
                        <w:t>Fecha de publicación:</w:t>
                      </w:r>
                      <w:r>
                        <w:rPr>
                          <w:rFonts w:ascii="Arial" w:eastAsia="Arial" w:hAnsi="Arial" w:cs="Arial"/>
                          <w:color w:val="000000"/>
                        </w:rPr>
                        <w:t xml:space="preserve"> 30/10/2019</w:t>
                      </w:r>
                    </w:p>
                    <w:p w14:paraId="55194224" w14:textId="77777777" w:rsidR="00D065EA" w:rsidRDefault="00D065EA">
                      <w:pPr>
                        <w:spacing w:after="0" w:line="240" w:lineRule="auto"/>
                        <w:jc w:val="both"/>
                        <w:textDirection w:val="btLr"/>
                      </w:pPr>
                    </w:p>
                    <w:p w14:paraId="450B53AB" w14:textId="77777777" w:rsidR="00D065EA" w:rsidRDefault="00D065EA">
                      <w:pPr>
                        <w:spacing w:after="0" w:line="240" w:lineRule="auto"/>
                        <w:jc w:val="both"/>
                        <w:textDirection w:val="btLr"/>
                      </w:pPr>
                      <w:r>
                        <w:rPr>
                          <w:rFonts w:ascii="Arial" w:eastAsia="Arial" w:hAnsi="Arial" w:cs="Arial"/>
                          <w:b/>
                          <w:color w:val="000000"/>
                          <w:sz w:val="20"/>
                        </w:rPr>
                        <w:t>Secretaría Distrital de Desarrollo Económico</w:t>
                      </w:r>
                    </w:p>
                    <w:p w14:paraId="5E9592DF" w14:textId="4350D9BA" w:rsidR="00D065EA" w:rsidRDefault="00D065EA">
                      <w:pPr>
                        <w:spacing w:after="0" w:line="240" w:lineRule="auto"/>
                        <w:jc w:val="both"/>
                        <w:textDirection w:val="btLr"/>
                      </w:pPr>
                      <w:r>
                        <w:rPr>
                          <w:rFonts w:ascii="Arial" w:eastAsia="Arial" w:hAnsi="Arial" w:cs="Arial"/>
                          <w:color w:val="000000"/>
                          <w:sz w:val="20"/>
                        </w:rPr>
                        <w:t xml:space="preserve">Vigencia 2016- 2019 </w:t>
                      </w:r>
                    </w:p>
                  </w:txbxContent>
                </v:textbox>
              </v:rect>
            </w:pict>
          </mc:Fallback>
        </mc:AlternateContent>
      </w:r>
    </w:p>
    <w:p w14:paraId="59D61D45" w14:textId="77B0268C" w:rsidR="000A7CAF" w:rsidRDefault="000A7CAF"/>
    <w:p w14:paraId="062DBDE1" w14:textId="2F48C96C" w:rsidR="000A7CAF" w:rsidRDefault="000A7CAF"/>
    <w:p w14:paraId="23DA241A" w14:textId="07B6D440" w:rsidR="000A7CAF" w:rsidRDefault="000A7CAF"/>
    <w:p w14:paraId="02A7B83D" w14:textId="1702F917" w:rsidR="000A7CAF" w:rsidRDefault="000A7CAF"/>
    <w:p w14:paraId="7753B7E0" w14:textId="2BCCB260" w:rsidR="000A7CAF" w:rsidRDefault="000A7CAF"/>
    <w:p w14:paraId="61C203A9" w14:textId="1A72BF37" w:rsidR="000A7CAF" w:rsidRDefault="000A7CAF"/>
    <w:p w14:paraId="6B1361E7" w14:textId="77777777" w:rsidR="000A7CAF" w:rsidRDefault="000A7CAF"/>
    <w:p w14:paraId="619FD041" w14:textId="77777777" w:rsidR="000A7CAF" w:rsidRDefault="000A7CAF"/>
    <w:p w14:paraId="4B0538D6" w14:textId="77777777" w:rsidR="000A7CAF" w:rsidRDefault="006602E4">
      <w:bookmarkStart w:id="0" w:name="_heading=h.3as4poj" w:colFirst="0" w:colLast="0"/>
      <w:bookmarkEnd w:id="0"/>
      <w:r>
        <w:tab/>
      </w:r>
    </w:p>
    <w:p w14:paraId="226240D0" w14:textId="77777777" w:rsidR="000A7CAF" w:rsidRDefault="000A7CAF"/>
    <w:p w14:paraId="2E5D2196" w14:textId="34C0B287" w:rsidR="000A7CAF" w:rsidRDefault="000A7CAF">
      <w:bookmarkStart w:id="1" w:name="_GoBack"/>
      <w:bookmarkEnd w:id="1"/>
    </w:p>
    <w:p w14:paraId="45DE4FE8" w14:textId="77777777" w:rsidR="000A7CAF" w:rsidRDefault="000A7CAF"/>
    <w:p w14:paraId="7CAC5E01" w14:textId="77777777" w:rsidR="000A7CAF" w:rsidRDefault="000A7CAF"/>
    <w:p w14:paraId="7B9F4DB0" w14:textId="77777777" w:rsidR="000A7CAF" w:rsidRDefault="000A7CAF"/>
    <w:p w14:paraId="2974468F" w14:textId="77777777" w:rsidR="000A7CAF" w:rsidRDefault="000A7CAF">
      <w:pPr>
        <w:sectPr w:rsidR="000A7CAF">
          <w:headerReference w:type="default" r:id="rId9"/>
          <w:footerReference w:type="default" r:id="rId10"/>
          <w:headerReference w:type="first" r:id="rId11"/>
          <w:pgSz w:w="12240" w:h="15840"/>
          <w:pgMar w:top="1417" w:right="1701" w:bottom="1417" w:left="1701" w:header="708" w:footer="708" w:gutter="0"/>
          <w:pgNumType w:start="0"/>
          <w:cols w:space="720" w:equalWidth="0">
            <w:col w:w="8838"/>
          </w:cols>
          <w:titlePg/>
        </w:sectPr>
      </w:pPr>
    </w:p>
    <w:p w14:paraId="6CC3ABE5" w14:textId="77777777" w:rsidR="000A7CAF" w:rsidRPr="002022F1" w:rsidRDefault="006602E4">
      <w:pPr>
        <w:keepNext/>
        <w:keepLines/>
        <w:pBdr>
          <w:top w:val="nil"/>
          <w:left w:val="nil"/>
          <w:bottom w:val="nil"/>
          <w:right w:val="nil"/>
          <w:between w:val="nil"/>
        </w:pBdr>
        <w:spacing w:before="480" w:after="0"/>
        <w:rPr>
          <w:rFonts w:asciiTheme="minorHAnsi" w:eastAsia="Cambria" w:hAnsiTheme="minorHAnsi" w:cstheme="minorHAnsi"/>
          <w:b/>
          <w:color w:val="366091"/>
          <w:sz w:val="36"/>
          <w:szCs w:val="36"/>
        </w:rPr>
      </w:pPr>
      <w:r w:rsidRPr="002022F1">
        <w:rPr>
          <w:rFonts w:asciiTheme="minorHAnsi" w:eastAsia="Cambria" w:hAnsiTheme="minorHAnsi" w:cstheme="minorHAnsi"/>
          <w:b/>
          <w:color w:val="366091"/>
          <w:sz w:val="36"/>
          <w:szCs w:val="36"/>
        </w:rPr>
        <w:lastRenderedPageBreak/>
        <w:t>Tabla de contenido</w:t>
      </w:r>
    </w:p>
    <w:sdt>
      <w:sdtPr>
        <w:rPr>
          <w:rFonts w:asciiTheme="minorHAnsi" w:eastAsia="Calibri" w:hAnsiTheme="minorHAnsi" w:cstheme="minorHAnsi"/>
          <w:b w:val="0"/>
          <w:noProof w:val="0"/>
          <w:color w:val="auto"/>
          <w:sz w:val="24"/>
          <w:szCs w:val="24"/>
        </w:rPr>
        <w:id w:val="-263379360"/>
        <w:docPartObj>
          <w:docPartGallery w:val="Table of Contents"/>
          <w:docPartUnique/>
        </w:docPartObj>
      </w:sdtPr>
      <w:sdtEndPr/>
      <w:sdtContent>
        <w:p w14:paraId="1B949F7B" w14:textId="77777777" w:rsidR="00610EDE" w:rsidRPr="002022F1" w:rsidRDefault="006602E4">
          <w:pPr>
            <w:pStyle w:val="TDC1"/>
            <w:rPr>
              <w:rFonts w:asciiTheme="minorHAnsi" w:hAnsiTheme="minorHAnsi" w:cstheme="minorBidi"/>
              <w:b w:val="0"/>
              <w:color w:val="auto"/>
              <w:sz w:val="22"/>
              <w:szCs w:val="22"/>
            </w:rPr>
          </w:pPr>
          <w:r w:rsidRPr="002022F1">
            <w:rPr>
              <w:rFonts w:asciiTheme="minorHAnsi" w:hAnsiTheme="minorHAnsi" w:cstheme="minorHAnsi"/>
              <w:sz w:val="24"/>
              <w:szCs w:val="24"/>
            </w:rPr>
            <w:fldChar w:fldCharType="begin"/>
          </w:r>
          <w:r w:rsidRPr="002022F1">
            <w:rPr>
              <w:rFonts w:asciiTheme="minorHAnsi" w:hAnsiTheme="minorHAnsi" w:cstheme="minorHAnsi"/>
              <w:sz w:val="24"/>
              <w:szCs w:val="24"/>
            </w:rPr>
            <w:instrText xml:space="preserve"> TOC \h \u \z </w:instrText>
          </w:r>
          <w:r w:rsidRPr="002022F1">
            <w:rPr>
              <w:rFonts w:asciiTheme="minorHAnsi" w:hAnsiTheme="minorHAnsi" w:cstheme="minorHAnsi"/>
              <w:sz w:val="24"/>
              <w:szCs w:val="24"/>
            </w:rPr>
            <w:fldChar w:fldCharType="separate"/>
          </w:r>
          <w:hyperlink w:anchor="_Toc23443952" w:history="1">
            <w:r w:rsidR="00610EDE" w:rsidRPr="002022F1">
              <w:rPr>
                <w:rStyle w:val="Hipervnculo"/>
              </w:rPr>
              <w:t>Presentación</w:t>
            </w:r>
            <w:r w:rsidR="00610EDE" w:rsidRPr="002022F1">
              <w:rPr>
                <w:webHidden/>
              </w:rPr>
              <w:tab/>
            </w:r>
            <w:r w:rsidR="00610EDE" w:rsidRPr="002022F1">
              <w:rPr>
                <w:webHidden/>
              </w:rPr>
              <w:fldChar w:fldCharType="begin"/>
            </w:r>
            <w:r w:rsidR="00610EDE" w:rsidRPr="002022F1">
              <w:rPr>
                <w:webHidden/>
              </w:rPr>
              <w:instrText xml:space="preserve"> PAGEREF _Toc23443952 \h </w:instrText>
            </w:r>
            <w:r w:rsidR="00610EDE" w:rsidRPr="002022F1">
              <w:rPr>
                <w:webHidden/>
              </w:rPr>
            </w:r>
            <w:r w:rsidR="00610EDE" w:rsidRPr="002022F1">
              <w:rPr>
                <w:webHidden/>
              </w:rPr>
              <w:fldChar w:fldCharType="separate"/>
            </w:r>
            <w:r w:rsidR="00610EDE" w:rsidRPr="002022F1">
              <w:rPr>
                <w:webHidden/>
              </w:rPr>
              <w:t>3</w:t>
            </w:r>
            <w:r w:rsidR="00610EDE" w:rsidRPr="002022F1">
              <w:rPr>
                <w:webHidden/>
              </w:rPr>
              <w:fldChar w:fldCharType="end"/>
            </w:r>
          </w:hyperlink>
        </w:p>
        <w:p w14:paraId="2FB70455" w14:textId="77777777" w:rsidR="00610EDE" w:rsidRPr="002022F1" w:rsidRDefault="00A352AD">
          <w:pPr>
            <w:pStyle w:val="TDC2"/>
            <w:rPr>
              <w:rFonts w:asciiTheme="minorHAnsi" w:hAnsiTheme="minorHAnsi" w:cstheme="minorBidi"/>
              <w:b w:val="0"/>
              <w:color w:val="auto"/>
              <w:sz w:val="22"/>
              <w:szCs w:val="22"/>
            </w:rPr>
          </w:pPr>
          <w:hyperlink w:anchor="_Toc23443953" w:history="1">
            <w:r w:rsidR="00610EDE" w:rsidRPr="002022F1">
              <w:rPr>
                <w:rStyle w:val="Hipervnculo"/>
              </w:rPr>
              <w:t>Gráfica 1. Pronóstico de Crecimiento 2019 Bogotá vs países (Variación anual, %)</w:t>
            </w:r>
            <w:r w:rsidR="00610EDE" w:rsidRPr="002022F1">
              <w:rPr>
                <w:webHidden/>
              </w:rPr>
              <w:tab/>
            </w:r>
            <w:r w:rsidR="00610EDE" w:rsidRPr="002022F1">
              <w:rPr>
                <w:webHidden/>
              </w:rPr>
              <w:fldChar w:fldCharType="begin"/>
            </w:r>
            <w:r w:rsidR="00610EDE" w:rsidRPr="002022F1">
              <w:rPr>
                <w:webHidden/>
              </w:rPr>
              <w:instrText xml:space="preserve"> PAGEREF _Toc23443953 \h </w:instrText>
            </w:r>
            <w:r w:rsidR="00610EDE" w:rsidRPr="002022F1">
              <w:rPr>
                <w:webHidden/>
              </w:rPr>
            </w:r>
            <w:r w:rsidR="00610EDE" w:rsidRPr="002022F1">
              <w:rPr>
                <w:webHidden/>
              </w:rPr>
              <w:fldChar w:fldCharType="separate"/>
            </w:r>
            <w:r w:rsidR="00610EDE" w:rsidRPr="002022F1">
              <w:rPr>
                <w:webHidden/>
              </w:rPr>
              <w:t>4</w:t>
            </w:r>
            <w:r w:rsidR="00610EDE" w:rsidRPr="002022F1">
              <w:rPr>
                <w:webHidden/>
              </w:rPr>
              <w:fldChar w:fldCharType="end"/>
            </w:r>
          </w:hyperlink>
        </w:p>
        <w:p w14:paraId="1B2DF1C5" w14:textId="77777777" w:rsidR="00610EDE" w:rsidRPr="002022F1" w:rsidRDefault="00A352AD">
          <w:pPr>
            <w:pStyle w:val="TDC1"/>
            <w:rPr>
              <w:rFonts w:asciiTheme="minorHAnsi" w:hAnsiTheme="minorHAnsi" w:cstheme="minorBidi"/>
              <w:b w:val="0"/>
              <w:color w:val="auto"/>
              <w:sz w:val="22"/>
              <w:szCs w:val="22"/>
            </w:rPr>
          </w:pPr>
          <w:hyperlink w:anchor="_Toc23443954" w:history="1">
            <w:r w:rsidR="00610EDE" w:rsidRPr="002022F1">
              <w:rPr>
                <w:rStyle w:val="Hipervnculo"/>
                <w:rFonts w:eastAsia="Calibri"/>
              </w:rPr>
              <w:t>Presentación Problemáticas</w:t>
            </w:r>
            <w:r w:rsidR="00610EDE" w:rsidRPr="002022F1">
              <w:rPr>
                <w:webHidden/>
              </w:rPr>
              <w:tab/>
            </w:r>
            <w:r w:rsidR="00610EDE" w:rsidRPr="002022F1">
              <w:rPr>
                <w:webHidden/>
              </w:rPr>
              <w:fldChar w:fldCharType="begin"/>
            </w:r>
            <w:r w:rsidR="00610EDE" w:rsidRPr="002022F1">
              <w:rPr>
                <w:webHidden/>
              </w:rPr>
              <w:instrText xml:space="preserve"> PAGEREF _Toc23443954 \h </w:instrText>
            </w:r>
            <w:r w:rsidR="00610EDE" w:rsidRPr="002022F1">
              <w:rPr>
                <w:webHidden/>
              </w:rPr>
            </w:r>
            <w:r w:rsidR="00610EDE" w:rsidRPr="002022F1">
              <w:rPr>
                <w:webHidden/>
              </w:rPr>
              <w:fldChar w:fldCharType="separate"/>
            </w:r>
            <w:r w:rsidR="00610EDE" w:rsidRPr="002022F1">
              <w:rPr>
                <w:webHidden/>
              </w:rPr>
              <w:t>5</w:t>
            </w:r>
            <w:r w:rsidR="00610EDE" w:rsidRPr="002022F1">
              <w:rPr>
                <w:webHidden/>
              </w:rPr>
              <w:fldChar w:fldCharType="end"/>
            </w:r>
          </w:hyperlink>
        </w:p>
        <w:p w14:paraId="4CA0D195" w14:textId="77777777" w:rsidR="00610EDE" w:rsidRPr="002022F1" w:rsidRDefault="00A352AD">
          <w:pPr>
            <w:pStyle w:val="TDC2"/>
            <w:rPr>
              <w:rFonts w:asciiTheme="minorHAnsi" w:hAnsiTheme="minorHAnsi" w:cstheme="minorBidi"/>
              <w:b w:val="0"/>
              <w:color w:val="auto"/>
              <w:sz w:val="22"/>
              <w:szCs w:val="22"/>
            </w:rPr>
          </w:pPr>
          <w:hyperlink w:anchor="_Toc23443955" w:history="1">
            <w:r w:rsidR="00610EDE" w:rsidRPr="002022F1">
              <w:rPr>
                <w:rStyle w:val="Hipervnculo"/>
              </w:rPr>
              <w:t>1. Desempleo e Informalidad Laboral</w:t>
            </w:r>
            <w:r w:rsidR="00610EDE" w:rsidRPr="002022F1">
              <w:rPr>
                <w:webHidden/>
              </w:rPr>
              <w:tab/>
            </w:r>
            <w:r w:rsidR="00610EDE" w:rsidRPr="002022F1">
              <w:rPr>
                <w:webHidden/>
              </w:rPr>
              <w:fldChar w:fldCharType="begin"/>
            </w:r>
            <w:r w:rsidR="00610EDE" w:rsidRPr="002022F1">
              <w:rPr>
                <w:webHidden/>
              </w:rPr>
              <w:instrText xml:space="preserve"> PAGEREF _Toc23443955 \h </w:instrText>
            </w:r>
            <w:r w:rsidR="00610EDE" w:rsidRPr="002022F1">
              <w:rPr>
                <w:webHidden/>
              </w:rPr>
            </w:r>
            <w:r w:rsidR="00610EDE" w:rsidRPr="002022F1">
              <w:rPr>
                <w:webHidden/>
              </w:rPr>
              <w:fldChar w:fldCharType="separate"/>
            </w:r>
            <w:r w:rsidR="00610EDE" w:rsidRPr="002022F1">
              <w:rPr>
                <w:webHidden/>
              </w:rPr>
              <w:t>5</w:t>
            </w:r>
            <w:r w:rsidR="00610EDE" w:rsidRPr="002022F1">
              <w:rPr>
                <w:webHidden/>
              </w:rPr>
              <w:fldChar w:fldCharType="end"/>
            </w:r>
          </w:hyperlink>
        </w:p>
        <w:p w14:paraId="509511C0" w14:textId="77777777" w:rsidR="00610EDE" w:rsidRPr="002022F1" w:rsidRDefault="00A352AD">
          <w:pPr>
            <w:pStyle w:val="TDC2"/>
            <w:rPr>
              <w:rFonts w:asciiTheme="minorHAnsi" w:hAnsiTheme="minorHAnsi" w:cstheme="minorBidi"/>
              <w:b w:val="0"/>
              <w:color w:val="auto"/>
              <w:sz w:val="22"/>
              <w:szCs w:val="22"/>
            </w:rPr>
          </w:pPr>
          <w:hyperlink w:anchor="_Toc23443956" w:history="1">
            <w:r w:rsidR="00610EDE" w:rsidRPr="002022F1">
              <w:rPr>
                <w:rStyle w:val="Hipervnculo"/>
              </w:rPr>
              <w:t>Gráfica 2. Porcentajes Tasa global de participación (TGP) Tasa de ocupación (TO) y Tasa de desempleo (TD) (2018-2019).</w:t>
            </w:r>
            <w:r w:rsidR="00610EDE" w:rsidRPr="002022F1">
              <w:rPr>
                <w:webHidden/>
              </w:rPr>
              <w:tab/>
            </w:r>
            <w:r w:rsidR="00610EDE" w:rsidRPr="002022F1">
              <w:rPr>
                <w:webHidden/>
              </w:rPr>
              <w:fldChar w:fldCharType="begin"/>
            </w:r>
            <w:r w:rsidR="00610EDE" w:rsidRPr="002022F1">
              <w:rPr>
                <w:webHidden/>
              </w:rPr>
              <w:instrText xml:space="preserve"> PAGEREF _Toc23443956 \h </w:instrText>
            </w:r>
            <w:r w:rsidR="00610EDE" w:rsidRPr="002022F1">
              <w:rPr>
                <w:webHidden/>
              </w:rPr>
            </w:r>
            <w:r w:rsidR="00610EDE" w:rsidRPr="002022F1">
              <w:rPr>
                <w:webHidden/>
              </w:rPr>
              <w:fldChar w:fldCharType="separate"/>
            </w:r>
            <w:r w:rsidR="00610EDE" w:rsidRPr="002022F1">
              <w:rPr>
                <w:webHidden/>
              </w:rPr>
              <w:t>7</w:t>
            </w:r>
            <w:r w:rsidR="00610EDE" w:rsidRPr="002022F1">
              <w:rPr>
                <w:webHidden/>
              </w:rPr>
              <w:fldChar w:fldCharType="end"/>
            </w:r>
          </w:hyperlink>
        </w:p>
        <w:p w14:paraId="01D6DDAD" w14:textId="77777777" w:rsidR="00610EDE" w:rsidRPr="002022F1" w:rsidRDefault="00A352AD">
          <w:pPr>
            <w:pStyle w:val="TDC2"/>
            <w:rPr>
              <w:rFonts w:asciiTheme="minorHAnsi" w:hAnsiTheme="minorHAnsi" w:cstheme="minorBidi"/>
              <w:b w:val="0"/>
              <w:color w:val="auto"/>
              <w:sz w:val="22"/>
              <w:szCs w:val="22"/>
            </w:rPr>
          </w:pPr>
          <w:hyperlink w:anchor="_Toc23443957" w:history="1">
            <w:r w:rsidR="00610EDE" w:rsidRPr="002022F1">
              <w:rPr>
                <w:rStyle w:val="Hipervnculo"/>
              </w:rPr>
              <w:t>Gráfica 3. Ocupados sector construcción en Bogotá (2001-2019)</w:t>
            </w:r>
            <w:r w:rsidR="00610EDE" w:rsidRPr="002022F1">
              <w:rPr>
                <w:webHidden/>
              </w:rPr>
              <w:tab/>
            </w:r>
            <w:r w:rsidR="00610EDE" w:rsidRPr="002022F1">
              <w:rPr>
                <w:webHidden/>
              </w:rPr>
              <w:fldChar w:fldCharType="begin"/>
            </w:r>
            <w:r w:rsidR="00610EDE" w:rsidRPr="002022F1">
              <w:rPr>
                <w:webHidden/>
              </w:rPr>
              <w:instrText xml:space="preserve"> PAGEREF _Toc23443957 \h </w:instrText>
            </w:r>
            <w:r w:rsidR="00610EDE" w:rsidRPr="002022F1">
              <w:rPr>
                <w:webHidden/>
              </w:rPr>
            </w:r>
            <w:r w:rsidR="00610EDE" w:rsidRPr="002022F1">
              <w:rPr>
                <w:webHidden/>
              </w:rPr>
              <w:fldChar w:fldCharType="separate"/>
            </w:r>
            <w:r w:rsidR="00610EDE" w:rsidRPr="002022F1">
              <w:rPr>
                <w:webHidden/>
              </w:rPr>
              <w:t>7</w:t>
            </w:r>
            <w:r w:rsidR="00610EDE" w:rsidRPr="002022F1">
              <w:rPr>
                <w:webHidden/>
              </w:rPr>
              <w:fldChar w:fldCharType="end"/>
            </w:r>
          </w:hyperlink>
        </w:p>
        <w:p w14:paraId="2B02F10B" w14:textId="77777777" w:rsidR="00610EDE" w:rsidRPr="002022F1" w:rsidRDefault="00A352AD">
          <w:pPr>
            <w:pStyle w:val="TDC2"/>
            <w:rPr>
              <w:rFonts w:asciiTheme="minorHAnsi" w:hAnsiTheme="minorHAnsi" w:cstheme="minorBidi"/>
              <w:b w:val="0"/>
              <w:color w:val="auto"/>
              <w:sz w:val="22"/>
              <w:szCs w:val="22"/>
            </w:rPr>
          </w:pPr>
          <w:hyperlink w:anchor="_Toc23443958" w:history="1">
            <w:r w:rsidR="00610EDE" w:rsidRPr="002022F1">
              <w:rPr>
                <w:rStyle w:val="Hipervnculo"/>
              </w:rPr>
              <w:t>Gráfica 4. Total nuevos empleos sector construcción (Trimestre móvil 2018- 2019).</w:t>
            </w:r>
            <w:r w:rsidR="00610EDE" w:rsidRPr="002022F1">
              <w:rPr>
                <w:webHidden/>
              </w:rPr>
              <w:tab/>
            </w:r>
            <w:r w:rsidR="00610EDE" w:rsidRPr="002022F1">
              <w:rPr>
                <w:webHidden/>
              </w:rPr>
              <w:fldChar w:fldCharType="begin"/>
            </w:r>
            <w:r w:rsidR="00610EDE" w:rsidRPr="002022F1">
              <w:rPr>
                <w:webHidden/>
              </w:rPr>
              <w:instrText xml:space="preserve"> PAGEREF _Toc23443958 \h </w:instrText>
            </w:r>
            <w:r w:rsidR="00610EDE" w:rsidRPr="002022F1">
              <w:rPr>
                <w:webHidden/>
              </w:rPr>
            </w:r>
            <w:r w:rsidR="00610EDE" w:rsidRPr="002022F1">
              <w:rPr>
                <w:webHidden/>
              </w:rPr>
              <w:fldChar w:fldCharType="separate"/>
            </w:r>
            <w:r w:rsidR="00610EDE" w:rsidRPr="002022F1">
              <w:rPr>
                <w:webHidden/>
              </w:rPr>
              <w:t>8</w:t>
            </w:r>
            <w:r w:rsidR="00610EDE" w:rsidRPr="002022F1">
              <w:rPr>
                <w:webHidden/>
              </w:rPr>
              <w:fldChar w:fldCharType="end"/>
            </w:r>
          </w:hyperlink>
        </w:p>
        <w:p w14:paraId="2AE5F982" w14:textId="77777777" w:rsidR="00610EDE" w:rsidRPr="002022F1" w:rsidRDefault="00A352AD">
          <w:pPr>
            <w:pStyle w:val="TDC2"/>
            <w:rPr>
              <w:rFonts w:asciiTheme="minorHAnsi" w:hAnsiTheme="minorHAnsi" w:cstheme="minorBidi"/>
              <w:b w:val="0"/>
              <w:color w:val="auto"/>
              <w:sz w:val="22"/>
              <w:szCs w:val="22"/>
            </w:rPr>
          </w:pPr>
          <w:hyperlink w:anchor="_Toc23443959" w:history="1">
            <w:r w:rsidR="00610EDE" w:rsidRPr="002022F1">
              <w:rPr>
                <w:rStyle w:val="Hipervnculo"/>
              </w:rPr>
              <w:t>Gráfica 5. Empleos generados en el sector turismo de Bogotá.</w:t>
            </w:r>
            <w:r w:rsidR="00610EDE" w:rsidRPr="002022F1">
              <w:rPr>
                <w:webHidden/>
              </w:rPr>
              <w:tab/>
            </w:r>
            <w:r w:rsidR="00610EDE" w:rsidRPr="002022F1">
              <w:rPr>
                <w:webHidden/>
              </w:rPr>
              <w:fldChar w:fldCharType="begin"/>
            </w:r>
            <w:r w:rsidR="00610EDE" w:rsidRPr="002022F1">
              <w:rPr>
                <w:webHidden/>
              </w:rPr>
              <w:instrText xml:space="preserve"> PAGEREF _Toc23443959 \h </w:instrText>
            </w:r>
            <w:r w:rsidR="00610EDE" w:rsidRPr="002022F1">
              <w:rPr>
                <w:webHidden/>
              </w:rPr>
            </w:r>
            <w:r w:rsidR="00610EDE" w:rsidRPr="002022F1">
              <w:rPr>
                <w:webHidden/>
              </w:rPr>
              <w:fldChar w:fldCharType="separate"/>
            </w:r>
            <w:r w:rsidR="00610EDE" w:rsidRPr="002022F1">
              <w:rPr>
                <w:webHidden/>
              </w:rPr>
              <w:t>9</w:t>
            </w:r>
            <w:r w:rsidR="00610EDE" w:rsidRPr="002022F1">
              <w:rPr>
                <w:webHidden/>
              </w:rPr>
              <w:fldChar w:fldCharType="end"/>
            </w:r>
          </w:hyperlink>
        </w:p>
        <w:p w14:paraId="53A1B7C8" w14:textId="77777777" w:rsidR="00610EDE" w:rsidRPr="002022F1" w:rsidRDefault="00A352AD">
          <w:pPr>
            <w:pStyle w:val="TDC2"/>
            <w:rPr>
              <w:rFonts w:asciiTheme="minorHAnsi" w:hAnsiTheme="minorHAnsi" w:cstheme="minorBidi"/>
              <w:b w:val="0"/>
              <w:color w:val="auto"/>
              <w:sz w:val="22"/>
              <w:szCs w:val="22"/>
            </w:rPr>
          </w:pPr>
          <w:hyperlink w:anchor="_Toc23443960" w:history="1">
            <w:r w:rsidR="00610EDE" w:rsidRPr="002022F1">
              <w:rPr>
                <w:rStyle w:val="Hipervnculo"/>
              </w:rPr>
              <w:t>Gráfica 6. Número de turistas en Bogotá (2015-2018).</w:t>
            </w:r>
            <w:r w:rsidR="00610EDE" w:rsidRPr="002022F1">
              <w:rPr>
                <w:webHidden/>
              </w:rPr>
              <w:tab/>
            </w:r>
            <w:r w:rsidR="00610EDE" w:rsidRPr="002022F1">
              <w:rPr>
                <w:webHidden/>
              </w:rPr>
              <w:fldChar w:fldCharType="begin"/>
            </w:r>
            <w:r w:rsidR="00610EDE" w:rsidRPr="002022F1">
              <w:rPr>
                <w:webHidden/>
              </w:rPr>
              <w:instrText xml:space="preserve"> PAGEREF _Toc23443960 \h </w:instrText>
            </w:r>
            <w:r w:rsidR="00610EDE" w:rsidRPr="002022F1">
              <w:rPr>
                <w:webHidden/>
              </w:rPr>
            </w:r>
            <w:r w:rsidR="00610EDE" w:rsidRPr="002022F1">
              <w:rPr>
                <w:webHidden/>
              </w:rPr>
              <w:fldChar w:fldCharType="separate"/>
            </w:r>
            <w:r w:rsidR="00610EDE" w:rsidRPr="002022F1">
              <w:rPr>
                <w:webHidden/>
              </w:rPr>
              <w:t>9</w:t>
            </w:r>
            <w:r w:rsidR="00610EDE" w:rsidRPr="002022F1">
              <w:rPr>
                <w:webHidden/>
              </w:rPr>
              <w:fldChar w:fldCharType="end"/>
            </w:r>
          </w:hyperlink>
        </w:p>
        <w:p w14:paraId="7E145F66" w14:textId="77777777" w:rsidR="00610EDE" w:rsidRPr="002022F1" w:rsidRDefault="00A352AD">
          <w:pPr>
            <w:pStyle w:val="TDC2"/>
            <w:rPr>
              <w:rFonts w:asciiTheme="minorHAnsi" w:hAnsiTheme="minorHAnsi" w:cstheme="minorBidi"/>
              <w:b w:val="0"/>
              <w:color w:val="auto"/>
              <w:sz w:val="22"/>
              <w:szCs w:val="22"/>
            </w:rPr>
          </w:pPr>
          <w:hyperlink w:anchor="_Toc23443961" w:history="1">
            <w:r w:rsidR="00610EDE" w:rsidRPr="002022F1">
              <w:rPr>
                <w:rStyle w:val="Hipervnculo"/>
              </w:rPr>
              <w:t>Gráfica 7. Proporción de la población Ocupada Informal (junio-agosto 2019).</w:t>
            </w:r>
            <w:r w:rsidR="00610EDE" w:rsidRPr="002022F1">
              <w:rPr>
                <w:webHidden/>
              </w:rPr>
              <w:tab/>
            </w:r>
            <w:r w:rsidR="00610EDE" w:rsidRPr="002022F1">
              <w:rPr>
                <w:webHidden/>
              </w:rPr>
              <w:fldChar w:fldCharType="begin"/>
            </w:r>
            <w:r w:rsidR="00610EDE" w:rsidRPr="002022F1">
              <w:rPr>
                <w:webHidden/>
              </w:rPr>
              <w:instrText xml:space="preserve"> PAGEREF _Toc23443961 \h </w:instrText>
            </w:r>
            <w:r w:rsidR="00610EDE" w:rsidRPr="002022F1">
              <w:rPr>
                <w:webHidden/>
              </w:rPr>
            </w:r>
            <w:r w:rsidR="00610EDE" w:rsidRPr="002022F1">
              <w:rPr>
                <w:webHidden/>
              </w:rPr>
              <w:fldChar w:fldCharType="separate"/>
            </w:r>
            <w:r w:rsidR="00610EDE" w:rsidRPr="002022F1">
              <w:rPr>
                <w:webHidden/>
              </w:rPr>
              <w:t>11</w:t>
            </w:r>
            <w:r w:rsidR="00610EDE" w:rsidRPr="002022F1">
              <w:rPr>
                <w:webHidden/>
              </w:rPr>
              <w:fldChar w:fldCharType="end"/>
            </w:r>
          </w:hyperlink>
        </w:p>
        <w:p w14:paraId="6E9CD3E6" w14:textId="77777777" w:rsidR="00610EDE" w:rsidRPr="002022F1" w:rsidRDefault="00A352AD">
          <w:pPr>
            <w:pStyle w:val="TDC2"/>
            <w:rPr>
              <w:rFonts w:asciiTheme="minorHAnsi" w:hAnsiTheme="minorHAnsi" w:cstheme="minorBidi"/>
              <w:b w:val="0"/>
              <w:color w:val="auto"/>
              <w:sz w:val="22"/>
              <w:szCs w:val="22"/>
            </w:rPr>
          </w:pPr>
          <w:hyperlink w:anchor="_Toc23443962" w:history="1">
            <w:r w:rsidR="00610EDE" w:rsidRPr="002022F1">
              <w:rPr>
                <w:rStyle w:val="Hipervnculo"/>
              </w:rPr>
              <w:t>Grafica 8. Plazas de Mercado distritales.</w:t>
            </w:r>
            <w:r w:rsidR="00610EDE" w:rsidRPr="002022F1">
              <w:rPr>
                <w:webHidden/>
              </w:rPr>
              <w:tab/>
            </w:r>
            <w:r w:rsidR="00610EDE" w:rsidRPr="002022F1">
              <w:rPr>
                <w:webHidden/>
              </w:rPr>
              <w:fldChar w:fldCharType="begin"/>
            </w:r>
            <w:r w:rsidR="00610EDE" w:rsidRPr="002022F1">
              <w:rPr>
                <w:webHidden/>
              </w:rPr>
              <w:instrText xml:space="preserve"> PAGEREF _Toc23443962 \h </w:instrText>
            </w:r>
            <w:r w:rsidR="00610EDE" w:rsidRPr="002022F1">
              <w:rPr>
                <w:webHidden/>
              </w:rPr>
            </w:r>
            <w:r w:rsidR="00610EDE" w:rsidRPr="002022F1">
              <w:rPr>
                <w:webHidden/>
              </w:rPr>
              <w:fldChar w:fldCharType="separate"/>
            </w:r>
            <w:r w:rsidR="00610EDE" w:rsidRPr="002022F1">
              <w:rPr>
                <w:webHidden/>
              </w:rPr>
              <w:t>12</w:t>
            </w:r>
            <w:r w:rsidR="00610EDE" w:rsidRPr="002022F1">
              <w:rPr>
                <w:webHidden/>
              </w:rPr>
              <w:fldChar w:fldCharType="end"/>
            </w:r>
          </w:hyperlink>
        </w:p>
        <w:p w14:paraId="117A0489" w14:textId="77777777" w:rsidR="00610EDE" w:rsidRPr="002022F1" w:rsidRDefault="00A352AD">
          <w:pPr>
            <w:pStyle w:val="TDC2"/>
            <w:rPr>
              <w:rFonts w:asciiTheme="minorHAnsi" w:hAnsiTheme="minorHAnsi" w:cstheme="minorBidi"/>
              <w:b w:val="0"/>
              <w:color w:val="auto"/>
              <w:sz w:val="22"/>
              <w:szCs w:val="22"/>
            </w:rPr>
          </w:pPr>
          <w:hyperlink w:anchor="_Toc23443963" w:history="1">
            <w:r w:rsidR="00610EDE" w:rsidRPr="002022F1">
              <w:rPr>
                <w:rStyle w:val="Hipervnculo"/>
              </w:rPr>
              <w:t>1.2 Barreras de Acceso al Financiamiento</w:t>
            </w:r>
            <w:r w:rsidR="00610EDE" w:rsidRPr="002022F1">
              <w:rPr>
                <w:webHidden/>
              </w:rPr>
              <w:tab/>
            </w:r>
            <w:r w:rsidR="00610EDE" w:rsidRPr="002022F1">
              <w:rPr>
                <w:webHidden/>
              </w:rPr>
              <w:fldChar w:fldCharType="begin"/>
            </w:r>
            <w:r w:rsidR="00610EDE" w:rsidRPr="002022F1">
              <w:rPr>
                <w:webHidden/>
              </w:rPr>
              <w:instrText xml:space="preserve"> PAGEREF _Toc23443963 \h </w:instrText>
            </w:r>
            <w:r w:rsidR="00610EDE" w:rsidRPr="002022F1">
              <w:rPr>
                <w:webHidden/>
              </w:rPr>
            </w:r>
            <w:r w:rsidR="00610EDE" w:rsidRPr="002022F1">
              <w:rPr>
                <w:webHidden/>
              </w:rPr>
              <w:fldChar w:fldCharType="separate"/>
            </w:r>
            <w:r w:rsidR="00610EDE" w:rsidRPr="002022F1">
              <w:rPr>
                <w:webHidden/>
              </w:rPr>
              <w:t>13</w:t>
            </w:r>
            <w:r w:rsidR="00610EDE" w:rsidRPr="002022F1">
              <w:rPr>
                <w:webHidden/>
              </w:rPr>
              <w:fldChar w:fldCharType="end"/>
            </w:r>
          </w:hyperlink>
        </w:p>
        <w:p w14:paraId="110CB77E" w14:textId="77777777" w:rsidR="00610EDE" w:rsidRPr="002022F1" w:rsidRDefault="00A352AD">
          <w:pPr>
            <w:pStyle w:val="TDC2"/>
            <w:rPr>
              <w:rFonts w:asciiTheme="minorHAnsi" w:hAnsiTheme="minorHAnsi" w:cstheme="minorBidi"/>
              <w:b w:val="0"/>
              <w:color w:val="auto"/>
              <w:sz w:val="22"/>
              <w:szCs w:val="22"/>
            </w:rPr>
          </w:pPr>
          <w:hyperlink w:anchor="_Toc23443964" w:history="1">
            <w:r w:rsidR="00610EDE" w:rsidRPr="002022F1">
              <w:rPr>
                <w:rStyle w:val="Hipervnculo"/>
              </w:rPr>
              <w:t>Gráfica 9. Factores que impiden otorgar un mayor volumen de microcrédito.</w:t>
            </w:r>
            <w:r w:rsidR="00610EDE" w:rsidRPr="002022F1">
              <w:rPr>
                <w:webHidden/>
              </w:rPr>
              <w:tab/>
            </w:r>
            <w:r w:rsidR="00610EDE" w:rsidRPr="002022F1">
              <w:rPr>
                <w:webHidden/>
              </w:rPr>
              <w:fldChar w:fldCharType="begin"/>
            </w:r>
            <w:r w:rsidR="00610EDE" w:rsidRPr="002022F1">
              <w:rPr>
                <w:webHidden/>
              </w:rPr>
              <w:instrText xml:space="preserve"> PAGEREF _Toc23443964 \h </w:instrText>
            </w:r>
            <w:r w:rsidR="00610EDE" w:rsidRPr="002022F1">
              <w:rPr>
                <w:webHidden/>
              </w:rPr>
            </w:r>
            <w:r w:rsidR="00610EDE" w:rsidRPr="002022F1">
              <w:rPr>
                <w:webHidden/>
              </w:rPr>
              <w:fldChar w:fldCharType="separate"/>
            </w:r>
            <w:r w:rsidR="00610EDE" w:rsidRPr="002022F1">
              <w:rPr>
                <w:webHidden/>
              </w:rPr>
              <w:t>14</w:t>
            </w:r>
            <w:r w:rsidR="00610EDE" w:rsidRPr="002022F1">
              <w:rPr>
                <w:webHidden/>
              </w:rPr>
              <w:fldChar w:fldCharType="end"/>
            </w:r>
          </w:hyperlink>
        </w:p>
        <w:p w14:paraId="2FE80756" w14:textId="77777777" w:rsidR="00610EDE" w:rsidRPr="002022F1" w:rsidRDefault="00A352AD">
          <w:pPr>
            <w:pStyle w:val="TDC2"/>
            <w:rPr>
              <w:rFonts w:asciiTheme="minorHAnsi" w:hAnsiTheme="minorHAnsi" w:cstheme="minorBidi"/>
              <w:b w:val="0"/>
              <w:color w:val="auto"/>
              <w:sz w:val="22"/>
              <w:szCs w:val="22"/>
            </w:rPr>
          </w:pPr>
          <w:hyperlink w:anchor="_Toc23443965" w:history="1">
            <w:r w:rsidR="00610EDE" w:rsidRPr="002022F1">
              <w:rPr>
                <w:rStyle w:val="Hipervnculo"/>
              </w:rPr>
              <w:t>Gráfica 10.  Eventos necesarios para aumentar el microcrédito en la economía.</w:t>
            </w:r>
            <w:r w:rsidR="00610EDE" w:rsidRPr="002022F1">
              <w:rPr>
                <w:webHidden/>
              </w:rPr>
              <w:tab/>
            </w:r>
            <w:r w:rsidR="00610EDE" w:rsidRPr="002022F1">
              <w:rPr>
                <w:webHidden/>
              </w:rPr>
              <w:fldChar w:fldCharType="begin"/>
            </w:r>
            <w:r w:rsidR="00610EDE" w:rsidRPr="002022F1">
              <w:rPr>
                <w:webHidden/>
              </w:rPr>
              <w:instrText xml:space="preserve"> PAGEREF _Toc23443965 \h </w:instrText>
            </w:r>
            <w:r w:rsidR="00610EDE" w:rsidRPr="002022F1">
              <w:rPr>
                <w:webHidden/>
              </w:rPr>
            </w:r>
            <w:r w:rsidR="00610EDE" w:rsidRPr="002022F1">
              <w:rPr>
                <w:webHidden/>
              </w:rPr>
              <w:fldChar w:fldCharType="separate"/>
            </w:r>
            <w:r w:rsidR="00610EDE" w:rsidRPr="002022F1">
              <w:rPr>
                <w:webHidden/>
              </w:rPr>
              <w:t>15</w:t>
            </w:r>
            <w:r w:rsidR="00610EDE" w:rsidRPr="002022F1">
              <w:rPr>
                <w:webHidden/>
              </w:rPr>
              <w:fldChar w:fldCharType="end"/>
            </w:r>
          </w:hyperlink>
        </w:p>
        <w:p w14:paraId="736E284F" w14:textId="77777777" w:rsidR="00610EDE" w:rsidRPr="002022F1" w:rsidRDefault="00A352AD">
          <w:pPr>
            <w:pStyle w:val="TDC2"/>
            <w:rPr>
              <w:rFonts w:asciiTheme="minorHAnsi" w:hAnsiTheme="minorHAnsi" w:cstheme="minorBidi"/>
              <w:b w:val="0"/>
              <w:color w:val="auto"/>
              <w:sz w:val="22"/>
              <w:szCs w:val="22"/>
            </w:rPr>
          </w:pPr>
          <w:hyperlink w:anchor="_Toc23443966" w:history="1">
            <w:r w:rsidR="00610EDE" w:rsidRPr="002022F1">
              <w:rPr>
                <w:rStyle w:val="Hipervnculo"/>
              </w:rPr>
              <w:t>1.3 Mercados con productores más competitivos y cambios en tendencias de consumo</w:t>
            </w:r>
            <w:r w:rsidR="00610EDE" w:rsidRPr="002022F1">
              <w:rPr>
                <w:webHidden/>
              </w:rPr>
              <w:tab/>
            </w:r>
            <w:r w:rsidR="00610EDE" w:rsidRPr="002022F1">
              <w:rPr>
                <w:webHidden/>
              </w:rPr>
              <w:fldChar w:fldCharType="begin"/>
            </w:r>
            <w:r w:rsidR="00610EDE" w:rsidRPr="002022F1">
              <w:rPr>
                <w:webHidden/>
              </w:rPr>
              <w:instrText xml:space="preserve"> PAGEREF _Toc23443966 \h </w:instrText>
            </w:r>
            <w:r w:rsidR="00610EDE" w:rsidRPr="002022F1">
              <w:rPr>
                <w:webHidden/>
              </w:rPr>
            </w:r>
            <w:r w:rsidR="00610EDE" w:rsidRPr="002022F1">
              <w:rPr>
                <w:webHidden/>
              </w:rPr>
              <w:fldChar w:fldCharType="separate"/>
            </w:r>
            <w:r w:rsidR="00610EDE" w:rsidRPr="002022F1">
              <w:rPr>
                <w:webHidden/>
              </w:rPr>
              <w:t>16</w:t>
            </w:r>
            <w:r w:rsidR="00610EDE" w:rsidRPr="002022F1">
              <w:rPr>
                <w:webHidden/>
              </w:rPr>
              <w:fldChar w:fldCharType="end"/>
            </w:r>
          </w:hyperlink>
        </w:p>
        <w:p w14:paraId="640D5622" w14:textId="77777777" w:rsidR="00610EDE" w:rsidRPr="002022F1" w:rsidRDefault="00A352AD">
          <w:pPr>
            <w:pStyle w:val="TDC2"/>
            <w:rPr>
              <w:rFonts w:asciiTheme="minorHAnsi" w:hAnsiTheme="minorHAnsi" w:cstheme="minorBidi"/>
              <w:b w:val="0"/>
              <w:color w:val="auto"/>
              <w:sz w:val="22"/>
              <w:szCs w:val="22"/>
            </w:rPr>
          </w:pPr>
          <w:hyperlink w:anchor="_Toc23443967" w:history="1">
            <w:r w:rsidR="00610EDE" w:rsidRPr="002022F1">
              <w:rPr>
                <w:rStyle w:val="Hipervnculo"/>
              </w:rPr>
              <w:t>Tabla 1.   Facilidad para hacer negocios Bogotá vs. Otras ciudades.</w:t>
            </w:r>
            <w:r w:rsidR="00610EDE" w:rsidRPr="002022F1">
              <w:rPr>
                <w:webHidden/>
              </w:rPr>
              <w:tab/>
            </w:r>
            <w:r w:rsidR="00610EDE" w:rsidRPr="002022F1">
              <w:rPr>
                <w:webHidden/>
              </w:rPr>
              <w:fldChar w:fldCharType="begin"/>
            </w:r>
            <w:r w:rsidR="00610EDE" w:rsidRPr="002022F1">
              <w:rPr>
                <w:webHidden/>
              </w:rPr>
              <w:instrText xml:space="preserve"> PAGEREF _Toc23443967 \h </w:instrText>
            </w:r>
            <w:r w:rsidR="00610EDE" w:rsidRPr="002022F1">
              <w:rPr>
                <w:webHidden/>
              </w:rPr>
            </w:r>
            <w:r w:rsidR="00610EDE" w:rsidRPr="002022F1">
              <w:rPr>
                <w:webHidden/>
              </w:rPr>
              <w:fldChar w:fldCharType="separate"/>
            </w:r>
            <w:r w:rsidR="00610EDE" w:rsidRPr="002022F1">
              <w:rPr>
                <w:webHidden/>
              </w:rPr>
              <w:t>17</w:t>
            </w:r>
            <w:r w:rsidR="00610EDE" w:rsidRPr="002022F1">
              <w:rPr>
                <w:webHidden/>
              </w:rPr>
              <w:fldChar w:fldCharType="end"/>
            </w:r>
          </w:hyperlink>
        </w:p>
        <w:p w14:paraId="6EAE44DE" w14:textId="77777777" w:rsidR="00610EDE" w:rsidRPr="002022F1" w:rsidRDefault="00A352AD">
          <w:pPr>
            <w:pStyle w:val="TDC2"/>
            <w:rPr>
              <w:rFonts w:asciiTheme="minorHAnsi" w:hAnsiTheme="minorHAnsi" w:cstheme="minorBidi"/>
              <w:b w:val="0"/>
              <w:color w:val="auto"/>
              <w:sz w:val="22"/>
              <w:szCs w:val="22"/>
            </w:rPr>
          </w:pPr>
          <w:hyperlink w:anchor="_Toc23443968" w:history="1">
            <w:r w:rsidR="00610EDE" w:rsidRPr="002022F1">
              <w:rPr>
                <w:rStyle w:val="Hipervnculo"/>
              </w:rPr>
              <w:t>Gráfica 11.   Facilidad para hacer negocios Bogotá vs. Otras ciudades.</w:t>
            </w:r>
            <w:r w:rsidR="00610EDE" w:rsidRPr="002022F1">
              <w:rPr>
                <w:webHidden/>
              </w:rPr>
              <w:tab/>
            </w:r>
            <w:r w:rsidR="00610EDE" w:rsidRPr="002022F1">
              <w:rPr>
                <w:webHidden/>
              </w:rPr>
              <w:fldChar w:fldCharType="begin"/>
            </w:r>
            <w:r w:rsidR="00610EDE" w:rsidRPr="002022F1">
              <w:rPr>
                <w:webHidden/>
              </w:rPr>
              <w:instrText xml:space="preserve"> PAGEREF _Toc23443968 \h </w:instrText>
            </w:r>
            <w:r w:rsidR="00610EDE" w:rsidRPr="002022F1">
              <w:rPr>
                <w:webHidden/>
              </w:rPr>
            </w:r>
            <w:r w:rsidR="00610EDE" w:rsidRPr="002022F1">
              <w:rPr>
                <w:webHidden/>
              </w:rPr>
              <w:fldChar w:fldCharType="separate"/>
            </w:r>
            <w:r w:rsidR="00610EDE" w:rsidRPr="002022F1">
              <w:rPr>
                <w:webHidden/>
              </w:rPr>
              <w:t>17</w:t>
            </w:r>
            <w:r w:rsidR="00610EDE" w:rsidRPr="002022F1">
              <w:rPr>
                <w:webHidden/>
              </w:rPr>
              <w:fldChar w:fldCharType="end"/>
            </w:r>
          </w:hyperlink>
        </w:p>
        <w:p w14:paraId="2E94F5C8" w14:textId="77777777" w:rsidR="00610EDE" w:rsidRPr="002022F1" w:rsidRDefault="00A352AD">
          <w:pPr>
            <w:pStyle w:val="TDC2"/>
            <w:rPr>
              <w:rFonts w:asciiTheme="minorHAnsi" w:hAnsiTheme="minorHAnsi" w:cstheme="minorBidi"/>
              <w:b w:val="0"/>
              <w:color w:val="auto"/>
              <w:sz w:val="22"/>
              <w:szCs w:val="22"/>
            </w:rPr>
          </w:pPr>
          <w:hyperlink w:anchor="_Toc23443969" w:history="1">
            <w:r w:rsidR="00610EDE" w:rsidRPr="002022F1">
              <w:rPr>
                <w:rStyle w:val="Hipervnculo"/>
              </w:rPr>
              <w:t>Tabla 2.  Protección a inversionistas Bogotá vs. Otras ciudades.</w:t>
            </w:r>
            <w:r w:rsidR="00610EDE" w:rsidRPr="002022F1">
              <w:rPr>
                <w:webHidden/>
              </w:rPr>
              <w:tab/>
            </w:r>
            <w:r w:rsidR="00610EDE" w:rsidRPr="002022F1">
              <w:rPr>
                <w:webHidden/>
              </w:rPr>
              <w:fldChar w:fldCharType="begin"/>
            </w:r>
            <w:r w:rsidR="00610EDE" w:rsidRPr="002022F1">
              <w:rPr>
                <w:webHidden/>
              </w:rPr>
              <w:instrText xml:space="preserve"> PAGEREF _Toc23443969 \h </w:instrText>
            </w:r>
            <w:r w:rsidR="00610EDE" w:rsidRPr="002022F1">
              <w:rPr>
                <w:webHidden/>
              </w:rPr>
            </w:r>
            <w:r w:rsidR="00610EDE" w:rsidRPr="002022F1">
              <w:rPr>
                <w:webHidden/>
              </w:rPr>
              <w:fldChar w:fldCharType="separate"/>
            </w:r>
            <w:r w:rsidR="00610EDE" w:rsidRPr="002022F1">
              <w:rPr>
                <w:webHidden/>
              </w:rPr>
              <w:t>18</w:t>
            </w:r>
            <w:r w:rsidR="00610EDE" w:rsidRPr="002022F1">
              <w:rPr>
                <w:webHidden/>
              </w:rPr>
              <w:fldChar w:fldCharType="end"/>
            </w:r>
          </w:hyperlink>
        </w:p>
        <w:p w14:paraId="23A5BA52" w14:textId="77777777" w:rsidR="00610EDE" w:rsidRPr="002022F1" w:rsidRDefault="00A352AD">
          <w:pPr>
            <w:pStyle w:val="TDC2"/>
            <w:rPr>
              <w:rFonts w:asciiTheme="minorHAnsi" w:hAnsiTheme="minorHAnsi" w:cstheme="minorBidi"/>
              <w:b w:val="0"/>
              <w:color w:val="auto"/>
              <w:sz w:val="22"/>
              <w:szCs w:val="22"/>
            </w:rPr>
          </w:pPr>
          <w:hyperlink w:anchor="_Toc23443970" w:history="1">
            <w:r w:rsidR="00610EDE" w:rsidRPr="002022F1">
              <w:rPr>
                <w:rStyle w:val="Hipervnculo"/>
              </w:rPr>
              <w:t>Gráfica 12.   Protección a inversionistas Bogotá vs. Otras Ciudades.</w:t>
            </w:r>
            <w:r w:rsidR="00610EDE" w:rsidRPr="002022F1">
              <w:rPr>
                <w:webHidden/>
              </w:rPr>
              <w:tab/>
            </w:r>
            <w:r w:rsidR="00610EDE" w:rsidRPr="002022F1">
              <w:rPr>
                <w:webHidden/>
              </w:rPr>
              <w:fldChar w:fldCharType="begin"/>
            </w:r>
            <w:r w:rsidR="00610EDE" w:rsidRPr="002022F1">
              <w:rPr>
                <w:webHidden/>
              </w:rPr>
              <w:instrText xml:space="preserve"> PAGEREF _Toc23443970 \h </w:instrText>
            </w:r>
            <w:r w:rsidR="00610EDE" w:rsidRPr="002022F1">
              <w:rPr>
                <w:webHidden/>
              </w:rPr>
            </w:r>
            <w:r w:rsidR="00610EDE" w:rsidRPr="002022F1">
              <w:rPr>
                <w:webHidden/>
              </w:rPr>
              <w:fldChar w:fldCharType="separate"/>
            </w:r>
            <w:r w:rsidR="00610EDE" w:rsidRPr="002022F1">
              <w:rPr>
                <w:webHidden/>
              </w:rPr>
              <w:t>18</w:t>
            </w:r>
            <w:r w:rsidR="00610EDE" w:rsidRPr="002022F1">
              <w:rPr>
                <w:webHidden/>
              </w:rPr>
              <w:fldChar w:fldCharType="end"/>
            </w:r>
          </w:hyperlink>
        </w:p>
        <w:p w14:paraId="27E9AC44" w14:textId="77777777" w:rsidR="00610EDE" w:rsidRPr="002022F1" w:rsidRDefault="00A352AD">
          <w:pPr>
            <w:pStyle w:val="TDC2"/>
            <w:rPr>
              <w:rFonts w:asciiTheme="minorHAnsi" w:hAnsiTheme="minorHAnsi" w:cstheme="minorBidi"/>
              <w:b w:val="0"/>
              <w:color w:val="auto"/>
              <w:sz w:val="22"/>
              <w:szCs w:val="22"/>
            </w:rPr>
          </w:pPr>
          <w:hyperlink w:anchor="_Toc23443971" w:history="1">
            <w:r w:rsidR="00610EDE" w:rsidRPr="002022F1">
              <w:rPr>
                <w:rStyle w:val="Hipervnculo"/>
              </w:rPr>
              <w:t>Tabla 3. Ranking general Skytrax: mejores aeropuertos de Latinoamérica</w:t>
            </w:r>
            <w:r w:rsidR="00610EDE" w:rsidRPr="002022F1">
              <w:rPr>
                <w:webHidden/>
              </w:rPr>
              <w:tab/>
            </w:r>
            <w:r w:rsidR="00610EDE" w:rsidRPr="002022F1">
              <w:rPr>
                <w:webHidden/>
              </w:rPr>
              <w:fldChar w:fldCharType="begin"/>
            </w:r>
            <w:r w:rsidR="00610EDE" w:rsidRPr="002022F1">
              <w:rPr>
                <w:webHidden/>
              </w:rPr>
              <w:instrText xml:space="preserve"> PAGEREF _Toc23443971 \h </w:instrText>
            </w:r>
            <w:r w:rsidR="00610EDE" w:rsidRPr="002022F1">
              <w:rPr>
                <w:webHidden/>
              </w:rPr>
            </w:r>
            <w:r w:rsidR="00610EDE" w:rsidRPr="002022F1">
              <w:rPr>
                <w:webHidden/>
              </w:rPr>
              <w:fldChar w:fldCharType="separate"/>
            </w:r>
            <w:r w:rsidR="00610EDE" w:rsidRPr="002022F1">
              <w:rPr>
                <w:webHidden/>
              </w:rPr>
              <w:t>19</w:t>
            </w:r>
            <w:r w:rsidR="00610EDE" w:rsidRPr="002022F1">
              <w:rPr>
                <w:webHidden/>
              </w:rPr>
              <w:fldChar w:fldCharType="end"/>
            </w:r>
          </w:hyperlink>
        </w:p>
        <w:p w14:paraId="4A826353" w14:textId="77777777" w:rsidR="00610EDE" w:rsidRPr="002022F1" w:rsidRDefault="00A352AD">
          <w:pPr>
            <w:pStyle w:val="TDC2"/>
            <w:rPr>
              <w:rFonts w:asciiTheme="minorHAnsi" w:hAnsiTheme="minorHAnsi" w:cstheme="minorBidi"/>
              <w:b w:val="0"/>
              <w:color w:val="auto"/>
              <w:sz w:val="22"/>
              <w:szCs w:val="22"/>
            </w:rPr>
          </w:pPr>
          <w:hyperlink w:anchor="_Toc23443972" w:history="1">
            <w:r w:rsidR="00610EDE" w:rsidRPr="002022F1">
              <w:rPr>
                <w:rStyle w:val="Hipervnculo"/>
              </w:rPr>
              <w:t>Tabla 4. Top 10 de Mejores Aeropuertos del mundo que transportan entre 30 y 40 millones de pasajeros al año.</w:t>
            </w:r>
            <w:r w:rsidR="00610EDE" w:rsidRPr="002022F1">
              <w:rPr>
                <w:webHidden/>
              </w:rPr>
              <w:tab/>
            </w:r>
            <w:r w:rsidR="00610EDE" w:rsidRPr="002022F1">
              <w:rPr>
                <w:webHidden/>
              </w:rPr>
              <w:fldChar w:fldCharType="begin"/>
            </w:r>
            <w:r w:rsidR="00610EDE" w:rsidRPr="002022F1">
              <w:rPr>
                <w:webHidden/>
              </w:rPr>
              <w:instrText xml:space="preserve"> PAGEREF _Toc23443972 \h </w:instrText>
            </w:r>
            <w:r w:rsidR="00610EDE" w:rsidRPr="002022F1">
              <w:rPr>
                <w:webHidden/>
              </w:rPr>
            </w:r>
            <w:r w:rsidR="00610EDE" w:rsidRPr="002022F1">
              <w:rPr>
                <w:webHidden/>
              </w:rPr>
              <w:fldChar w:fldCharType="separate"/>
            </w:r>
            <w:r w:rsidR="00610EDE" w:rsidRPr="002022F1">
              <w:rPr>
                <w:webHidden/>
              </w:rPr>
              <w:t>19</w:t>
            </w:r>
            <w:r w:rsidR="00610EDE" w:rsidRPr="002022F1">
              <w:rPr>
                <w:webHidden/>
              </w:rPr>
              <w:fldChar w:fldCharType="end"/>
            </w:r>
          </w:hyperlink>
        </w:p>
        <w:p w14:paraId="072950F4" w14:textId="77777777" w:rsidR="00610EDE" w:rsidRPr="002022F1" w:rsidRDefault="00A352AD">
          <w:pPr>
            <w:pStyle w:val="TDC2"/>
            <w:rPr>
              <w:rFonts w:asciiTheme="minorHAnsi" w:hAnsiTheme="minorHAnsi" w:cstheme="minorBidi"/>
              <w:b w:val="0"/>
              <w:color w:val="auto"/>
              <w:sz w:val="22"/>
              <w:szCs w:val="22"/>
            </w:rPr>
          </w:pPr>
          <w:hyperlink w:anchor="_Toc23443973" w:history="1">
            <w:r w:rsidR="00610EDE" w:rsidRPr="002022F1">
              <w:rPr>
                <w:rStyle w:val="Hipervnculo"/>
              </w:rPr>
              <w:t>Tabla 5. Empresas creadas según sector económico en el 2018.</w:t>
            </w:r>
            <w:r w:rsidR="00610EDE" w:rsidRPr="002022F1">
              <w:rPr>
                <w:webHidden/>
              </w:rPr>
              <w:tab/>
            </w:r>
            <w:r w:rsidR="00610EDE" w:rsidRPr="002022F1">
              <w:rPr>
                <w:webHidden/>
              </w:rPr>
              <w:fldChar w:fldCharType="begin"/>
            </w:r>
            <w:r w:rsidR="00610EDE" w:rsidRPr="002022F1">
              <w:rPr>
                <w:webHidden/>
              </w:rPr>
              <w:instrText xml:space="preserve"> PAGEREF _Toc23443973 \h </w:instrText>
            </w:r>
            <w:r w:rsidR="00610EDE" w:rsidRPr="002022F1">
              <w:rPr>
                <w:webHidden/>
              </w:rPr>
            </w:r>
            <w:r w:rsidR="00610EDE" w:rsidRPr="002022F1">
              <w:rPr>
                <w:webHidden/>
              </w:rPr>
              <w:fldChar w:fldCharType="separate"/>
            </w:r>
            <w:r w:rsidR="00610EDE" w:rsidRPr="002022F1">
              <w:rPr>
                <w:webHidden/>
              </w:rPr>
              <w:t>20</w:t>
            </w:r>
            <w:r w:rsidR="00610EDE" w:rsidRPr="002022F1">
              <w:rPr>
                <w:webHidden/>
              </w:rPr>
              <w:fldChar w:fldCharType="end"/>
            </w:r>
          </w:hyperlink>
        </w:p>
        <w:p w14:paraId="57136666" w14:textId="77777777" w:rsidR="00610EDE" w:rsidRPr="002022F1" w:rsidRDefault="00A352AD">
          <w:pPr>
            <w:pStyle w:val="TDC2"/>
            <w:rPr>
              <w:rFonts w:asciiTheme="minorHAnsi" w:hAnsiTheme="minorHAnsi" w:cstheme="minorBidi"/>
              <w:b w:val="0"/>
              <w:color w:val="auto"/>
              <w:sz w:val="22"/>
              <w:szCs w:val="22"/>
            </w:rPr>
          </w:pPr>
          <w:hyperlink w:anchor="_Toc23443974" w:history="1">
            <w:r w:rsidR="00610EDE" w:rsidRPr="002022F1">
              <w:rPr>
                <w:rStyle w:val="Hipervnculo"/>
              </w:rPr>
              <w:t>Tabla 6. Cuenta Satélite de Cultura y Económica Creativa en Bogotá</w:t>
            </w:r>
            <w:r w:rsidR="00610EDE" w:rsidRPr="002022F1">
              <w:rPr>
                <w:webHidden/>
              </w:rPr>
              <w:tab/>
            </w:r>
            <w:r w:rsidR="00610EDE" w:rsidRPr="002022F1">
              <w:rPr>
                <w:webHidden/>
              </w:rPr>
              <w:fldChar w:fldCharType="begin"/>
            </w:r>
            <w:r w:rsidR="00610EDE" w:rsidRPr="002022F1">
              <w:rPr>
                <w:webHidden/>
              </w:rPr>
              <w:instrText xml:space="preserve"> PAGEREF _Toc23443974 \h </w:instrText>
            </w:r>
            <w:r w:rsidR="00610EDE" w:rsidRPr="002022F1">
              <w:rPr>
                <w:webHidden/>
              </w:rPr>
            </w:r>
            <w:r w:rsidR="00610EDE" w:rsidRPr="002022F1">
              <w:rPr>
                <w:webHidden/>
              </w:rPr>
              <w:fldChar w:fldCharType="separate"/>
            </w:r>
            <w:r w:rsidR="00610EDE" w:rsidRPr="002022F1">
              <w:rPr>
                <w:webHidden/>
              </w:rPr>
              <w:t>21</w:t>
            </w:r>
            <w:r w:rsidR="00610EDE" w:rsidRPr="002022F1">
              <w:rPr>
                <w:webHidden/>
              </w:rPr>
              <w:fldChar w:fldCharType="end"/>
            </w:r>
          </w:hyperlink>
        </w:p>
        <w:p w14:paraId="1E4C3504" w14:textId="77777777" w:rsidR="00610EDE" w:rsidRPr="002022F1" w:rsidRDefault="00A352AD">
          <w:pPr>
            <w:pStyle w:val="TDC2"/>
            <w:rPr>
              <w:rFonts w:asciiTheme="minorHAnsi" w:hAnsiTheme="minorHAnsi" w:cstheme="minorBidi"/>
              <w:b w:val="0"/>
              <w:color w:val="auto"/>
              <w:sz w:val="22"/>
              <w:szCs w:val="22"/>
            </w:rPr>
          </w:pPr>
          <w:hyperlink w:anchor="_Toc23443975" w:history="1">
            <w:r w:rsidR="00610EDE" w:rsidRPr="002022F1">
              <w:rPr>
                <w:rStyle w:val="Hipervnculo"/>
              </w:rPr>
              <w:t>1.4. Bajo posicionamiento nacional e internacional</w:t>
            </w:r>
            <w:r w:rsidR="00610EDE" w:rsidRPr="002022F1">
              <w:rPr>
                <w:webHidden/>
              </w:rPr>
              <w:tab/>
            </w:r>
            <w:r w:rsidR="00610EDE" w:rsidRPr="002022F1">
              <w:rPr>
                <w:webHidden/>
              </w:rPr>
              <w:fldChar w:fldCharType="begin"/>
            </w:r>
            <w:r w:rsidR="00610EDE" w:rsidRPr="002022F1">
              <w:rPr>
                <w:webHidden/>
              </w:rPr>
              <w:instrText xml:space="preserve"> PAGEREF _Toc23443975 \h </w:instrText>
            </w:r>
            <w:r w:rsidR="00610EDE" w:rsidRPr="002022F1">
              <w:rPr>
                <w:webHidden/>
              </w:rPr>
            </w:r>
            <w:r w:rsidR="00610EDE" w:rsidRPr="002022F1">
              <w:rPr>
                <w:webHidden/>
              </w:rPr>
              <w:fldChar w:fldCharType="separate"/>
            </w:r>
            <w:r w:rsidR="00610EDE" w:rsidRPr="002022F1">
              <w:rPr>
                <w:webHidden/>
              </w:rPr>
              <w:t>23</w:t>
            </w:r>
            <w:r w:rsidR="00610EDE" w:rsidRPr="002022F1">
              <w:rPr>
                <w:webHidden/>
              </w:rPr>
              <w:fldChar w:fldCharType="end"/>
            </w:r>
          </w:hyperlink>
        </w:p>
        <w:p w14:paraId="6C9AABBF" w14:textId="77777777" w:rsidR="00610EDE" w:rsidRPr="002022F1" w:rsidRDefault="00A352AD">
          <w:pPr>
            <w:pStyle w:val="TDC1"/>
            <w:rPr>
              <w:rFonts w:asciiTheme="minorHAnsi" w:hAnsiTheme="minorHAnsi" w:cstheme="minorBidi"/>
              <w:b w:val="0"/>
              <w:color w:val="auto"/>
              <w:sz w:val="22"/>
              <w:szCs w:val="22"/>
            </w:rPr>
          </w:pPr>
          <w:hyperlink w:anchor="_Toc23443976" w:history="1">
            <w:r w:rsidR="00610EDE" w:rsidRPr="002022F1">
              <w:rPr>
                <w:rStyle w:val="Hipervnculo"/>
              </w:rPr>
              <w:t>Conclusiones</w:t>
            </w:r>
            <w:r w:rsidR="00610EDE" w:rsidRPr="002022F1">
              <w:rPr>
                <w:webHidden/>
              </w:rPr>
              <w:tab/>
            </w:r>
            <w:r w:rsidR="00610EDE" w:rsidRPr="002022F1">
              <w:rPr>
                <w:webHidden/>
              </w:rPr>
              <w:fldChar w:fldCharType="begin"/>
            </w:r>
            <w:r w:rsidR="00610EDE" w:rsidRPr="002022F1">
              <w:rPr>
                <w:webHidden/>
              </w:rPr>
              <w:instrText xml:space="preserve"> PAGEREF _Toc23443976 \h </w:instrText>
            </w:r>
            <w:r w:rsidR="00610EDE" w:rsidRPr="002022F1">
              <w:rPr>
                <w:webHidden/>
              </w:rPr>
            </w:r>
            <w:r w:rsidR="00610EDE" w:rsidRPr="002022F1">
              <w:rPr>
                <w:webHidden/>
              </w:rPr>
              <w:fldChar w:fldCharType="separate"/>
            </w:r>
            <w:r w:rsidR="00610EDE" w:rsidRPr="002022F1">
              <w:rPr>
                <w:webHidden/>
              </w:rPr>
              <w:t>24</w:t>
            </w:r>
            <w:r w:rsidR="00610EDE" w:rsidRPr="002022F1">
              <w:rPr>
                <w:webHidden/>
              </w:rPr>
              <w:fldChar w:fldCharType="end"/>
            </w:r>
          </w:hyperlink>
        </w:p>
        <w:p w14:paraId="04BBC1AA" w14:textId="77777777" w:rsidR="00610EDE" w:rsidRPr="002022F1" w:rsidRDefault="00A352AD">
          <w:pPr>
            <w:pStyle w:val="TDC1"/>
            <w:rPr>
              <w:rFonts w:asciiTheme="minorHAnsi" w:hAnsiTheme="minorHAnsi" w:cstheme="minorBidi"/>
              <w:b w:val="0"/>
              <w:color w:val="auto"/>
              <w:sz w:val="22"/>
              <w:szCs w:val="22"/>
            </w:rPr>
          </w:pPr>
          <w:hyperlink w:anchor="_Toc23443977" w:history="1">
            <w:r w:rsidR="00610EDE" w:rsidRPr="002022F1">
              <w:rPr>
                <w:rStyle w:val="Hipervnculo"/>
              </w:rPr>
              <w:t>Referencias</w:t>
            </w:r>
            <w:r w:rsidR="00610EDE" w:rsidRPr="002022F1">
              <w:rPr>
                <w:webHidden/>
              </w:rPr>
              <w:tab/>
            </w:r>
            <w:r w:rsidR="00610EDE" w:rsidRPr="002022F1">
              <w:rPr>
                <w:webHidden/>
              </w:rPr>
              <w:fldChar w:fldCharType="begin"/>
            </w:r>
            <w:r w:rsidR="00610EDE" w:rsidRPr="002022F1">
              <w:rPr>
                <w:webHidden/>
              </w:rPr>
              <w:instrText xml:space="preserve"> PAGEREF _Toc23443977 \h </w:instrText>
            </w:r>
            <w:r w:rsidR="00610EDE" w:rsidRPr="002022F1">
              <w:rPr>
                <w:webHidden/>
              </w:rPr>
            </w:r>
            <w:r w:rsidR="00610EDE" w:rsidRPr="002022F1">
              <w:rPr>
                <w:webHidden/>
              </w:rPr>
              <w:fldChar w:fldCharType="separate"/>
            </w:r>
            <w:r w:rsidR="00610EDE" w:rsidRPr="002022F1">
              <w:rPr>
                <w:webHidden/>
              </w:rPr>
              <w:t>25</w:t>
            </w:r>
            <w:r w:rsidR="00610EDE" w:rsidRPr="002022F1">
              <w:rPr>
                <w:webHidden/>
              </w:rPr>
              <w:fldChar w:fldCharType="end"/>
            </w:r>
          </w:hyperlink>
        </w:p>
        <w:p w14:paraId="64D4ADD4" w14:textId="48A72C84" w:rsidR="000A7CAF" w:rsidRPr="00E6411D" w:rsidRDefault="006602E4">
          <w:pPr>
            <w:tabs>
              <w:tab w:val="right" w:pos="8838"/>
            </w:tabs>
            <w:spacing w:before="200" w:after="80" w:line="240" w:lineRule="auto"/>
            <w:rPr>
              <w:b/>
              <w:color w:val="1F497D"/>
              <w:sz w:val="20"/>
              <w:szCs w:val="20"/>
            </w:rPr>
          </w:pPr>
          <w:r w:rsidRPr="002022F1">
            <w:rPr>
              <w:rFonts w:asciiTheme="minorHAnsi" w:hAnsiTheme="minorHAnsi" w:cstheme="minorHAnsi"/>
              <w:sz w:val="24"/>
              <w:szCs w:val="24"/>
            </w:rPr>
            <w:fldChar w:fldCharType="end"/>
          </w:r>
        </w:p>
      </w:sdtContent>
    </w:sdt>
    <w:p w14:paraId="4E1D97EC" w14:textId="77777777" w:rsidR="000A7CAF" w:rsidRDefault="000A7CAF"/>
    <w:p w14:paraId="605A26E1" w14:textId="77777777" w:rsidR="000A7CAF" w:rsidRDefault="000A7CAF"/>
    <w:p w14:paraId="0FD2D84B" w14:textId="5F5AE477" w:rsidR="00AD5E8D" w:rsidRDefault="00AD5E8D"/>
    <w:p w14:paraId="469A3263" w14:textId="77777777" w:rsidR="00B03B0E" w:rsidRDefault="00B03B0E"/>
    <w:p w14:paraId="3CFBA457" w14:textId="0FEB85DC" w:rsidR="00AD5E8D" w:rsidRDefault="00AD5E8D"/>
    <w:p w14:paraId="597B0F5A" w14:textId="7300A5A9" w:rsidR="00AD5E8D" w:rsidRDefault="00AD5E8D"/>
    <w:p w14:paraId="7AE03742" w14:textId="77777777" w:rsidR="00AD5E8D" w:rsidRDefault="00AD5E8D"/>
    <w:p w14:paraId="05640DA0" w14:textId="71910698" w:rsidR="000A7CAF" w:rsidRDefault="006602E4" w:rsidP="00610EDE">
      <w:pPr>
        <w:pStyle w:val="Ttulo1"/>
      </w:pPr>
      <w:bookmarkStart w:id="2" w:name="_Toc23443952"/>
      <w:r w:rsidRPr="008232B3">
        <w:lastRenderedPageBreak/>
        <w:t>Presentación</w:t>
      </w:r>
      <w:r>
        <w:rPr>
          <w:noProof/>
        </w:rPr>
        <mc:AlternateContent>
          <mc:Choice Requires="wps">
            <w:drawing>
              <wp:anchor distT="0" distB="0" distL="114300" distR="114300" simplePos="0" relativeHeight="251662336" behindDoc="0" locked="0" layoutInCell="1" hidden="0" allowOverlap="1" wp14:anchorId="03D3A51E" wp14:editId="69721E21">
                <wp:simplePos x="0" y="0"/>
                <wp:positionH relativeFrom="column">
                  <wp:posOffset>419100</wp:posOffset>
                </wp:positionH>
                <wp:positionV relativeFrom="paragraph">
                  <wp:posOffset>381000</wp:posOffset>
                </wp:positionV>
                <wp:extent cx="5179241" cy="22225"/>
                <wp:effectExtent l="0" t="0" r="0" b="0"/>
                <wp:wrapNone/>
                <wp:docPr id="576" name="576 Conector recto de flecha"/>
                <wp:cNvGraphicFramePr/>
                <a:graphic xmlns:a="http://schemas.openxmlformats.org/drawingml/2006/main">
                  <a:graphicData uri="http://schemas.microsoft.com/office/word/2010/wordprocessingShape">
                    <wps:wsp>
                      <wps:cNvCnPr/>
                      <wps:spPr>
                        <a:xfrm>
                          <a:off x="2761142" y="3780000"/>
                          <a:ext cx="5169716"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w:pict>
              <v:shape w14:anchorId="7D6290FB" id="576 Conector recto de flecha" o:spid="_x0000_s1026" type="#_x0000_t32" style="position:absolute;margin-left:33pt;margin-top:30pt;width:407.8pt;height:1.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oI68AEAAMIDAAAOAAAAZHJzL2Uyb0RvYy54bWysU9tu2zAMfR+wfxD0vtjOmqQN4hRdsu5l&#10;2AJs+wBGkm0BuoFS4+TvR8lZu8vDgGF+kCmJPDyHpDb3Z2vYSWHU3rW8mdWcKSe81K5v+bevj29u&#10;OYsJnATjnWr5RUV+v339ajOGtZr7wRupkBGIi+sxtHxIKayrKopBWYgzH5Sjy86jhURb7CuJMBK6&#10;NdW8rpfV6FEG9ELFSKf76ZJvC37XKZE+d11UiZmWE7dUVizrMa/VdgPrHiEMWlxpwD+wsKAdJX2G&#10;2kMC9oT6DyirBfrouzQT3la+67RQRQOpaerf1HwZIKiihYoTw3OZ4v+DFZ9OB2RatnyxWnLmwFKT&#10;yGQ7apdIHhnmH5OKdUaJAXLFxhDXFLhzB7zuYjhgln/u0OY/CWPnls9Xy6a5mXN2afnb1W1N31Rx&#10;dU5MkMOiWd6tGkosyKPcVS8gAWP6oLxl2Wh5TAi6HxIxm6g1peJw+hgT0aDAHwGZgfOP2pjSXuPY&#10;2PK7xXxBeYCGrDOQyLSBZEfXF5jojZY5JAdH7I87g+wENDY3D6v9u4fMm1L84pbz7SEOk1+5muSh&#10;f3Ky5B4UyPdOsnQJVFhHReWZTLScGUUvhozil0Cbv/sRAeOIR27AVPJsHb28lE6UcxqUwvQ61HkS&#10;f96X6Jent/0OAAD//wMAUEsDBBQABgAIAAAAIQDk13LO3wAAAAgBAAAPAAAAZHJzL2Rvd25yZXYu&#10;eG1sTI/NTsMwEITvSLyDtUhcKuqUCiuEOFX56aVSD5QeetwmJgnY68h228DTs5zgNNqd1ew35WJ0&#10;VpxMiL0nDbNpBsJQ7ZueWg27t9VNDiImpAatJ6Phy0RYVJcXJRaNP9OrOW1TKziEYoEaupSGQspY&#10;d8ZhnPrBEHvvPjhMPIZWNgHPHO6svM0yJR32xB86HMxTZ+rP7dFpWE9ewvxRhbW9Xz6vJnv82LTp&#10;W+vrq3H5ACKZMf0dwy8+o0PFTAd/pCYKq0EprpJYM1b283ymQBx4Mb8DWZXyf4HqBwAA//8DAFBL&#10;AQItABQABgAIAAAAIQC2gziS/gAAAOEBAAATAAAAAAAAAAAAAAAAAAAAAABbQ29udGVudF9UeXBl&#10;c10ueG1sUEsBAi0AFAAGAAgAAAAhADj9If/WAAAAlAEAAAsAAAAAAAAAAAAAAAAALwEAAF9yZWxz&#10;Ly5yZWxzUEsBAi0AFAAGAAgAAAAhACvigjrwAQAAwgMAAA4AAAAAAAAAAAAAAAAALgIAAGRycy9l&#10;Mm9Eb2MueG1sUEsBAi0AFAAGAAgAAAAhAOTXcs7fAAAACAEAAA8AAAAAAAAAAAAAAAAASgQAAGRy&#10;cy9kb3ducmV2LnhtbFBLBQYAAAAABAAEAPMAAABWBQAAAAA=&#10;" strokecolor="#4a7dba">
                <v:stroke startarrowwidth="narrow" startarrowlength="short" endarrowwidth="narrow" endarrowlength="short"/>
              </v:shape>
            </w:pict>
          </mc:Fallback>
        </mc:AlternateContent>
      </w:r>
      <w:bookmarkEnd w:id="2"/>
    </w:p>
    <w:p w14:paraId="63B6DA85" w14:textId="77777777" w:rsidR="00610EDE" w:rsidRPr="00610EDE" w:rsidRDefault="00610EDE" w:rsidP="00610EDE"/>
    <w:p w14:paraId="6A6B72BD" w14:textId="3B47A82B" w:rsidR="000A7CAF" w:rsidRDefault="006602E4">
      <w:pPr>
        <w:spacing w:before="240" w:after="240"/>
        <w:jc w:val="both"/>
      </w:pPr>
      <w:r>
        <w:t>Bogotá es considerada la primera fuerza económica de Colombia, al ser la ciudad que contribuye de manera más notoria al crecimie</w:t>
      </w:r>
      <w:r w:rsidR="00E1408E">
        <w:t xml:space="preserve">nto del PIB y, </w:t>
      </w:r>
      <w:r>
        <w:t xml:space="preserve">al consolidarse como la mayor generadora de empleo de calidad del país. Sumado a lo anterior, la ciudad se caracteriza por </w:t>
      </w:r>
      <w:r w:rsidR="00E1408E">
        <w:t>poseer un</w:t>
      </w:r>
      <w:r>
        <w:t xml:space="preserve"> tejido productivo diversificado</w:t>
      </w:r>
      <w:r w:rsidR="00E1408E">
        <w:t xml:space="preserve"> </w:t>
      </w:r>
      <w:r w:rsidR="00E1408E" w:rsidRPr="00555B98">
        <w:t>y hoy desarrollando</w:t>
      </w:r>
      <w:r w:rsidR="00E1408E">
        <w:t xml:space="preserve"> cada vez más procesos de innovación tecnológica que se transversaliza en todos los sectores productivos, jalonando crecimiento económico en el país, a pesar del</w:t>
      </w:r>
      <w:r>
        <w:t xml:space="preserve"> actual escenario económico mundial</w:t>
      </w:r>
      <w:r w:rsidR="00E1408E">
        <w:t xml:space="preserve"> y regional.</w:t>
      </w:r>
    </w:p>
    <w:p w14:paraId="01755338" w14:textId="13350AD0" w:rsidR="001017D7" w:rsidRDefault="001017D7">
      <w:pPr>
        <w:spacing w:before="240" w:after="240"/>
        <w:jc w:val="both"/>
      </w:pPr>
      <w:r>
        <w:t>También es considerada el primer destino turístico del país, la ciudad que may</w:t>
      </w:r>
      <w:r w:rsidR="00843BE6">
        <w:t>or inversión extranjera atrae en</w:t>
      </w:r>
      <w:r>
        <w:t xml:space="preserve"> Colombia </w:t>
      </w:r>
      <w:r w:rsidR="00843BE6">
        <w:t xml:space="preserve">y el mercado más grande en el país para el comercio y desarrollo empresarial, siendo incluso del tamaño de grandes ciudades del mundo. </w:t>
      </w:r>
    </w:p>
    <w:p w14:paraId="7B38D41E" w14:textId="77777777" w:rsidR="000305FD" w:rsidRDefault="006602E4">
      <w:pPr>
        <w:spacing w:before="240" w:after="240"/>
        <w:jc w:val="both"/>
      </w:pPr>
      <w:r>
        <w:t>En 2018, el PIB de Bo</w:t>
      </w:r>
      <w:r w:rsidR="00104DB9">
        <w:t>gotá Región representó el 30,77</w:t>
      </w:r>
      <w:r>
        <w:t>% del total de Colombia, es decir, USD 101,6 mil millones. En el mismo año, el PIB per cápita de Bogotá alcanzó los U</w:t>
      </w:r>
      <w:r w:rsidR="007B69F3">
        <w:t>SD 11.802</w:t>
      </w:r>
      <w:r w:rsidR="00930122">
        <w:t>, monto</w:t>
      </w:r>
      <w:r>
        <w:t xml:space="preserve"> superior </w:t>
      </w:r>
      <w:r w:rsidR="007B69F3">
        <w:t>en casi el doble a la cifra para el</w:t>
      </w:r>
      <w:r>
        <w:t xml:space="preserve"> país</w:t>
      </w:r>
      <w:r w:rsidR="00331152">
        <w:t>, haciendo evidente</w:t>
      </w:r>
      <w:r>
        <w:t xml:space="preserve"> la </w:t>
      </w:r>
      <w:r w:rsidR="007B69F3">
        <w:t>relevancia de</w:t>
      </w:r>
      <w:r>
        <w:t xml:space="preserve"> la economía bogotana. </w:t>
      </w:r>
    </w:p>
    <w:p w14:paraId="0CEE6052" w14:textId="1AE25D0B" w:rsidR="000305FD" w:rsidRDefault="006602E4">
      <w:pPr>
        <w:spacing w:before="240" w:after="240"/>
        <w:jc w:val="both"/>
      </w:pPr>
      <w:r>
        <w:t xml:space="preserve">Durante </w:t>
      </w:r>
      <w:r w:rsidR="00930122">
        <w:t>los últimos años</w:t>
      </w:r>
      <w:r>
        <w:t>, el crecimiento económico de la ciudad fue superior al de</w:t>
      </w:r>
      <w:r w:rsidR="000305FD">
        <w:t xml:space="preserve"> varios países de</w:t>
      </w:r>
      <w:r>
        <w:t xml:space="preserve"> América Latina. De hecho, en 2018, el crecimiento económico de la capital colombiana fue de 3% y la tasa de desempleo se ubicó en 10,5 %.</w:t>
      </w:r>
      <w:r w:rsidR="007B69F3">
        <w:t xml:space="preserve"> </w:t>
      </w:r>
    </w:p>
    <w:p w14:paraId="065CD014" w14:textId="6FACFAE8" w:rsidR="000A7CAF" w:rsidRDefault="007B69F3">
      <w:pPr>
        <w:spacing w:before="240" w:after="240"/>
        <w:jc w:val="both"/>
      </w:pPr>
      <w:r>
        <w:t xml:space="preserve">En el primer trimestre del 2019, el PIB creció en 3,5% en comparación con el primer trimestre del 2018, </w:t>
      </w:r>
      <w:r w:rsidR="00104DB9">
        <w:t xml:space="preserve">este crecimiento representó la mayor alza trimestral desde 2015, </w:t>
      </w:r>
      <w:r>
        <w:t>demostrando</w:t>
      </w:r>
      <w:r w:rsidR="00104DB9">
        <w:t xml:space="preserve"> así su dinamismo y alza. En este mismo período, el país creció al 3</w:t>
      </w:r>
      <w:r w:rsidR="000305FD">
        <w:t xml:space="preserve">.1 </w:t>
      </w:r>
      <w:r>
        <w:t xml:space="preserve">% </w:t>
      </w:r>
      <w:r w:rsidR="00104DB9">
        <w:t xml:space="preserve">lo que nos indica </w:t>
      </w:r>
      <w:r>
        <w:t>como Bogotá viene jalonando el crecimiento del país.</w:t>
      </w:r>
    </w:p>
    <w:p w14:paraId="2822B302" w14:textId="29F2119B" w:rsidR="008232B3" w:rsidRDefault="000305FD" w:rsidP="00B03B0E">
      <w:pPr>
        <w:spacing w:before="240" w:after="240"/>
        <w:jc w:val="both"/>
      </w:pPr>
      <w:r>
        <w:t>En cuanto a proyecciones de crecimiento económico, Bogotá para el cierre de 2019 con la proyección más conservadora, crecería inclusive por encima de todos los países de la región excepto Bolivia, y muy por encima de los promedios de Latinoamérica (0,2%) y Suramérica (-0,2%), según el F</w:t>
      </w:r>
      <w:r w:rsidR="00B03B0E">
        <w:t xml:space="preserve">ondo Monetario Internacional. </w:t>
      </w:r>
    </w:p>
    <w:p w14:paraId="4CA0020D" w14:textId="77777777" w:rsidR="00B03B0E" w:rsidRDefault="00B03B0E" w:rsidP="00B03B0E">
      <w:pPr>
        <w:spacing w:before="240" w:after="240"/>
        <w:jc w:val="both"/>
      </w:pPr>
    </w:p>
    <w:p w14:paraId="317B78B3" w14:textId="77777777" w:rsidR="00B03B0E" w:rsidRDefault="00B03B0E" w:rsidP="00B03B0E">
      <w:pPr>
        <w:spacing w:before="240" w:after="240"/>
        <w:jc w:val="both"/>
      </w:pPr>
    </w:p>
    <w:p w14:paraId="68D24BE8" w14:textId="77777777" w:rsidR="00B03B0E" w:rsidRDefault="00B03B0E" w:rsidP="00B03B0E">
      <w:pPr>
        <w:spacing w:before="240" w:after="240"/>
        <w:jc w:val="both"/>
      </w:pPr>
    </w:p>
    <w:p w14:paraId="66B6FE29" w14:textId="77777777" w:rsidR="00B03B0E" w:rsidRDefault="00B03B0E" w:rsidP="00B03B0E">
      <w:pPr>
        <w:spacing w:before="240" w:after="240"/>
        <w:jc w:val="both"/>
      </w:pPr>
    </w:p>
    <w:p w14:paraId="154166E7" w14:textId="77777777" w:rsidR="00B03B0E" w:rsidRPr="00B03B0E" w:rsidRDefault="00B03B0E" w:rsidP="00B03B0E">
      <w:pPr>
        <w:spacing w:before="240" w:after="240"/>
        <w:jc w:val="both"/>
      </w:pPr>
    </w:p>
    <w:p w14:paraId="2EE14BCD" w14:textId="1FC233D8" w:rsidR="000015C9" w:rsidRDefault="00F8542A" w:rsidP="0003254B">
      <w:pPr>
        <w:pStyle w:val="Ttulo2"/>
        <w:jc w:val="center"/>
      </w:pPr>
      <w:bookmarkStart w:id="3" w:name="_Toc23443953"/>
      <w:r w:rsidRPr="002022F1">
        <w:lastRenderedPageBreak/>
        <w:t xml:space="preserve">Gráfica 1. </w:t>
      </w:r>
      <w:r w:rsidR="000015C9" w:rsidRPr="002022F1">
        <w:t>Pronóstico de Crecimiento 2019 Bogotá vs países (Variación anual, %)</w:t>
      </w:r>
      <w:bookmarkEnd w:id="3"/>
    </w:p>
    <w:p w14:paraId="784BBB2F" w14:textId="77777777" w:rsidR="00F8542A" w:rsidRPr="00F8542A" w:rsidRDefault="00F8542A" w:rsidP="00F8542A"/>
    <w:p w14:paraId="1425B6DD" w14:textId="77777777" w:rsidR="000015C9" w:rsidRDefault="000015C9" w:rsidP="000015C9">
      <w:pPr>
        <w:jc w:val="center"/>
        <w:rPr>
          <w:rFonts w:ascii="Arial" w:hAnsi="Arial" w:cs="Arial"/>
          <w:sz w:val="20"/>
          <w:szCs w:val="20"/>
        </w:rPr>
      </w:pPr>
      <w:r>
        <w:rPr>
          <w:noProof/>
        </w:rPr>
        <w:drawing>
          <wp:inline distT="0" distB="0" distL="0" distR="0" wp14:anchorId="7F263A95" wp14:editId="666E8C74">
            <wp:extent cx="4191000" cy="175260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5E50964" w14:textId="77777777" w:rsidR="000015C9" w:rsidRPr="0003254B" w:rsidRDefault="000015C9" w:rsidP="0003254B">
      <w:pPr>
        <w:pStyle w:val="Sinespaciado"/>
        <w:jc w:val="center"/>
        <w:rPr>
          <w:i/>
          <w:sz w:val="20"/>
        </w:rPr>
      </w:pPr>
      <w:r w:rsidRPr="0003254B">
        <w:rPr>
          <w:b/>
          <w:i/>
          <w:sz w:val="20"/>
        </w:rPr>
        <w:t>Nota:</w:t>
      </w:r>
      <w:r w:rsidRPr="0003254B">
        <w:rPr>
          <w:i/>
          <w:sz w:val="20"/>
        </w:rPr>
        <w:t xml:space="preserve"> Se excluye Venezuela.</w:t>
      </w:r>
    </w:p>
    <w:p w14:paraId="3EA5F148" w14:textId="52810668" w:rsidR="000015C9" w:rsidRPr="0003254B" w:rsidRDefault="000015C9" w:rsidP="00E9084B">
      <w:pPr>
        <w:pStyle w:val="Sinespaciado"/>
        <w:jc w:val="center"/>
        <w:rPr>
          <w:i/>
          <w:sz w:val="20"/>
        </w:rPr>
      </w:pPr>
      <w:r w:rsidRPr="002022F1">
        <w:rPr>
          <w:b/>
          <w:i/>
          <w:sz w:val="20"/>
        </w:rPr>
        <w:t>Fuentes:</w:t>
      </w:r>
      <w:r w:rsidRPr="002022F1">
        <w:rPr>
          <w:i/>
          <w:sz w:val="20"/>
        </w:rPr>
        <w:t xml:space="preserve"> FMI – WEO actualización octubre 2019; Secretaría Distrital de Hacienda.</w:t>
      </w:r>
      <w:sdt>
        <w:sdtPr>
          <w:rPr>
            <w:i/>
            <w:sz w:val="20"/>
          </w:rPr>
          <w:id w:val="-897208040"/>
          <w:citation/>
        </w:sdtPr>
        <w:sdtEndPr/>
        <w:sdtContent>
          <w:r w:rsidR="00E9084B" w:rsidRPr="002022F1">
            <w:rPr>
              <w:i/>
              <w:sz w:val="20"/>
            </w:rPr>
            <w:fldChar w:fldCharType="begin"/>
          </w:r>
          <w:r w:rsidR="00E9084B" w:rsidRPr="002022F1">
            <w:rPr>
              <w:i/>
              <w:sz w:val="20"/>
            </w:rPr>
            <w:instrText xml:space="preserve"> CITATION Fon19 \l 9226 </w:instrText>
          </w:r>
          <w:r w:rsidR="00E9084B" w:rsidRPr="002022F1">
            <w:rPr>
              <w:i/>
              <w:sz w:val="20"/>
            </w:rPr>
            <w:fldChar w:fldCharType="separate"/>
          </w:r>
          <w:r w:rsidR="00AB3CD5" w:rsidRPr="002022F1">
            <w:rPr>
              <w:i/>
              <w:noProof/>
              <w:sz w:val="20"/>
            </w:rPr>
            <w:t xml:space="preserve"> </w:t>
          </w:r>
          <w:r w:rsidR="00AB3CD5" w:rsidRPr="002022F1">
            <w:rPr>
              <w:noProof/>
              <w:sz w:val="20"/>
            </w:rPr>
            <w:t>(Fondo Monetario Internacional , 2019)</w:t>
          </w:r>
          <w:r w:rsidR="00E9084B" w:rsidRPr="002022F1">
            <w:rPr>
              <w:i/>
              <w:sz w:val="20"/>
            </w:rPr>
            <w:fldChar w:fldCharType="end"/>
          </w:r>
        </w:sdtContent>
      </w:sdt>
      <w:r w:rsidR="00E9084B" w:rsidRPr="002022F1">
        <w:rPr>
          <w:i/>
          <w:sz w:val="20"/>
        </w:rPr>
        <w:t xml:space="preserve"> INFORMES DE PERSPECTIVAS DE LA ECONOMÍA MUNDIAL, Recuperado  de https://www.imf.org/es/Publications/WEO/Issues/2019/10/01/world-economic-outlook-october-2019</w:t>
      </w:r>
    </w:p>
    <w:p w14:paraId="46F58A08" w14:textId="28EEEE2D" w:rsidR="000015C9" w:rsidRDefault="006602E4" w:rsidP="00F8542A">
      <w:pPr>
        <w:spacing w:before="240" w:after="240"/>
        <w:jc w:val="both"/>
      </w:pPr>
      <w:r>
        <w:t>El buen desempeño económico</w:t>
      </w:r>
      <w:r w:rsidR="007B69F3">
        <w:t xml:space="preserve"> y la confianza</w:t>
      </w:r>
      <w:r>
        <w:t xml:space="preserve"> de la ciudad </w:t>
      </w:r>
      <w:r w:rsidR="007B69F3">
        <w:t xml:space="preserve">también </w:t>
      </w:r>
      <w:r>
        <w:t>se ha visto reflejado en una destacada estabilidad de precios. Bogotá cuenta con uno de los menores niveles de inflación entre las ciudades más importantes de América Latina. En 2018 la inflación fue de 3,06 %, ubicándose por debajo de ciudades como Buenos Aires, Ciudad de México y Sao Paulo.</w:t>
      </w:r>
    </w:p>
    <w:p w14:paraId="6985606B" w14:textId="3465F85B" w:rsidR="000A7CAF" w:rsidRDefault="006602E4" w:rsidP="008232B3">
      <w:pPr>
        <w:pStyle w:val="Ttulo1"/>
        <w:rPr>
          <w:rFonts w:eastAsia="Calibri"/>
        </w:rPr>
      </w:pPr>
      <w:bookmarkStart w:id="4" w:name="_Toc23443954"/>
      <w:r>
        <w:rPr>
          <w:rFonts w:eastAsia="Calibri"/>
        </w:rPr>
        <w:t>Presentación Problemáticas</w:t>
      </w:r>
      <w:bookmarkEnd w:id="4"/>
      <w:r>
        <w:rPr>
          <w:rFonts w:eastAsia="Calibri"/>
        </w:rPr>
        <w:t xml:space="preserve"> </w:t>
      </w:r>
    </w:p>
    <w:p w14:paraId="30548B95" w14:textId="789170A5" w:rsidR="000A7CAF" w:rsidRPr="008232B3" w:rsidRDefault="006602E4" w:rsidP="008232B3">
      <w:pPr>
        <w:pStyle w:val="Ttulo2"/>
      </w:pPr>
      <w:bookmarkStart w:id="5" w:name="_Toc23443955"/>
      <w:r w:rsidRPr="008232B3">
        <w:t>1</w:t>
      </w:r>
      <w:r w:rsidR="000015C9" w:rsidRPr="008232B3">
        <w:t>.</w:t>
      </w:r>
      <w:r w:rsidRPr="008232B3">
        <w:t xml:space="preserve"> </w:t>
      </w:r>
      <w:r w:rsidR="00F12201" w:rsidRPr="008232B3">
        <w:t>Desempleo</w:t>
      </w:r>
      <w:r w:rsidRPr="008232B3">
        <w:t xml:space="preserve"> e Informalidad Laboral</w:t>
      </w:r>
      <w:bookmarkEnd w:id="5"/>
      <w:r w:rsidRPr="008232B3">
        <w:t xml:space="preserve"> </w:t>
      </w:r>
    </w:p>
    <w:p w14:paraId="482F3AA0" w14:textId="0F266B92" w:rsidR="0017073B" w:rsidRDefault="00621A88">
      <w:pPr>
        <w:spacing w:before="240" w:after="240"/>
        <w:jc w:val="both"/>
      </w:pPr>
      <w:r>
        <w:t>Según los datos publicados por</w:t>
      </w:r>
      <w:r w:rsidR="006602E4">
        <w:t xml:space="preserve"> el Observatorio de Desarrollo Económico de la SDDE</w:t>
      </w:r>
      <w:r w:rsidR="006602E4">
        <w:rPr>
          <w:vertAlign w:val="superscript"/>
        </w:rPr>
        <w:footnoteReference w:id="1"/>
      </w:r>
      <w:r w:rsidR="006602E4">
        <w:t xml:space="preserve">, la tasa de desempleo para el trimestre junio–agosto de 2019 fue de 10,4%, </w:t>
      </w:r>
      <w:r w:rsidR="00FC5409">
        <w:t>siendo inferior</w:t>
      </w:r>
      <w:r w:rsidR="006602E4">
        <w:t xml:space="preserve"> a las cifras registradas para ciudades como Cali (11,8%) y Medellín (12,6%)</w:t>
      </w:r>
      <w:r w:rsidR="00C55AF9">
        <w:t>, y la tasa para el país fue de 10,3%</w:t>
      </w:r>
      <w:r w:rsidR="006602E4">
        <w:t>.</w:t>
      </w:r>
    </w:p>
    <w:p w14:paraId="7A95CA0E" w14:textId="6BC1A036" w:rsidR="0033497F" w:rsidRDefault="00C55AF9">
      <w:pPr>
        <w:spacing w:before="240" w:after="240"/>
        <w:jc w:val="both"/>
      </w:pPr>
      <w:r w:rsidRPr="00C55AF9">
        <w:t>En el</w:t>
      </w:r>
      <w:r>
        <w:t xml:space="preserve"> mismo</w:t>
      </w:r>
      <w:r w:rsidRPr="00C55AF9">
        <w:t xml:space="preserve"> trimestre móvil junio – agosto de 2019</w:t>
      </w:r>
      <w:r>
        <w:t xml:space="preserve"> en Bogotá</w:t>
      </w:r>
      <w:r w:rsidR="00AF34F5">
        <w:t>,</w:t>
      </w:r>
      <w:r w:rsidRPr="00C55AF9">
        <w:t xml:space="preserve"> el número de ocupados de la ciudad creció en un 0,7% con respecto al mismo trimestre del año anterior, lo que en términos absolutos representó un aumento de 30.535 persona</w:t>
      </w:r>
      <w:r>
        <w:t xml:space="preserve">s. </w:t>
      </w:r>
      <w:r w:rsidR="00AF34F5">
        <w:t>Igualmente, e</w:t>
      </w:r>
      <w:r w:rsidR="0033497F">
        <w:t>s importante resaltar que para el año 2018 el desempleo cerró</w:t>
      </w:r>
      <w:r w:rsidR="00FC5409">
        <w:t xml:space="preserve"> con un promedio anual de</w:t>
      </w:r>
      <w:r w:rsidR="0033497F">
        <w:t xml:space="preserve"> </w:t>
      </w:r>
      <w:r w:rsidR="005E6A74">
        <w:t>10,5%</w:t>
      </w:r>
      <w:r w:rsidR="00FC5409">
        <w:t xml:space="preserve">, y se espera que este año 2019 se cierre en promedio anual con un porcentaje </w:t>
      </w:r>
      <w:r w:rsidR="004C2913">
        <w:t>más</w:t>
      </w:r>
      <w:r w:rsidR="00FC5409">
        <w:t xml:space="preserve"> bajo acompañado por la dinámica de varios sectores productivos como el turismo, comercio, incluyendo el sector de la construcción influenciado por las obras públicas que desarrolla la Alcaldía. Dicha proyección se soporta entre otras al registrar en trimestres móviles del primer semestre, caídas en la tasa de desempleo. También es relevante </w:t>
      </w:r>
      <w:r w:rsidR="00FC5409">
        <w:lastRenderedPageBreak/>
        <w:t>destacar que la tasa del 10,5% en desempleo es inferior a la tasa presentada</w:t>
      </w:r>
      <w:r w:rsidR="00714406">
        <w:t xml:space="preserve"> en ciudades como Sao Paulo (</w:t>
      </w:r>
      <w:r w:rsidR="00FC5409">
        <w:t>13,4%</w:t>
      </w:r>
      <w:r w:rsidR="00714406">
        <w:t>)</w:t>
      </w:r>
      <w:r w:rsidR="00FC5409">
        <w:t xml:space="preserve"> y Rio de Janeiro </w:t>
      </w:r>
      <w:r w:rsidR="00714406">
        <w:t>(</w:t>
      </w:r>
      <w:r w:rsidR="00FC5409">
        <w:t>14,8%</w:t>
      </w:r>
      <w:r w:rsidR="00714406">
        <w:t>)</w:t>
      </w:r>
      <w:r w:rsidR="00FC5409">
        <w:t>.</w:t>
      </w:r>
    </w:p>
    <w:p w14:paraId="672FEF73" w14:textId="5C38127D" w:rsidR="00E47D47" w:rsidRDefault="00621A88" w:rsidP="00E47D47">
      <w:pPr>
        <w:jc w:val="both"/>
      </w:pPr>
      <w:r w:rsidRPr="003C09CF">
        <w:t>Sin embargo, el</w:t>
      </w:r>
      <w:r>
        <w:t xml:space="preserve"> problema del desempleo en Bogotá</w:t>
      </w:r>
      <w:r w:rsidR="00E47D47">
        <w:t xml:space="preserve"> y sus </w:t>
      </w:r>
      <w:r>
        <w:t>causas no son sencillas de explicar</w:t>
      </w:r>
      <w:r w:rsidR="00E47D47">
        <w:t xml:space="preserve"> y aunque la ciudad debe seguir haciendo todos los esfuerzos para su disminución, las causas más directas se asocian a factores de carácter nacional generados por</w:t>
      </w:r>
      <w:r>
        <w:t xml:space="preserve">: </w:t>
      </w:r>
      <w:r w:rsidRPr="00E6092E">
        <w:rPr>
          <w:b/>
        </w:rPr>
        <w:t>i)</w:t>
      </w:r>
      <w:r>
        <w:t xml:space="preserve"> </w:t>
      </w:r>
      <w:r w:rsidRPr="003C09CF">
        <w:t>una serie de presiones macroeconómicas</w:t>
      </w:r>
      <w:r>
        <w:t xml:space="preserve"> que generan incertidumbre, </w:t>
      </w:r>
      <w:r w:rsidRPr="00E6092E">
        <w:rPr>
          <w:b/>
        </w:rPr>
        <w:t>ii)</w:t>
      </w:r>
      <w:r>
        <w:t xml:space="preserve"> aumentos del salario que n</w:t>
      </w:r>
      <w:r w:rsidR="00E47D47">
        <w:t>o corresponden con el aumento de la</w:t>
      </w:r>
      <w:r>
        <w:t xml:space="preserve"> productividad</w:t>
      </w:r>
      <w:r w:rsidR="00E47D47">
        <w:t xml:space="preserve"> laboral</w:t>
      </w:r>
    </w:p>
    <w:p w14:paraId="461F99CC" w14:textId="64A348E2" w:rsidR="00621A88" w:rsidRPr="00E47D47" w:rsidRDefault="00621A88" w:rsidP="00E47D47">
      <w:pPr>
        <w:jc w:val="both"/>
      </w:pPr>
      <w:r>
        <w:t xml:space="preserve">Diferentes sucesos en la economía mundial y nacional han generado incertidumbre en los agentes económicos colombianos durante los últimos años: </w:t>
      </w:r>
    </w:p>
    <w:p w14:paraId="455BEE84" w14:textId="1555552A" w:rsidR="00621A88" w:rsidRDefault="00621A88" w:rsidP="00621A88">
      <w:pPr>
        <w:pStyle w:val="Prrafodelista"/>
        <w:numPr>
          <w:ilvl w:val="0"/>
          <w:numId w:val="8"/>
        </w:numPr>
        <w:ind w:left="567" w:hanging="283"/>
        <w:jc w:val="both"/>
      </w:pPr>
      <w:r>
        <w:t>La caída de los precios del petróleo significó una serie de ajustes macroeconómicos que ralentizaron la economía</w:t>
      </w:r>
      <w:r w:rsidR="00E47D47">
        <w:t xml:space="preserve"> nacional.</w:t>
      </w:r>
    </w:p>
    <w:p w14:paraId="72DA1BC3" w14:textId="77777777" w:rsidR="00621A88" w:rsidRDefault="00621A88" w:rsidP="00621A88">
      <w:pPr>
        <w:pStyle w:val="Prrafodelista"/>
        <w:numPr>
          <w:ilvl w:val="0"/>
          <w:numId w:val="8"/>
        </w:numPr>
        <w:ind w:left="567" w:hanging="283"/>
        <w:jc w:val="both"/>
      </w:pPr>
      <w:r>
        <w:t>L</w:t>
      </w:r>
      <w:r w:rsidRPr="00C84DF2">
        <w:t xml:space="preserve">a </w:t>
      </w:r>
      <w:r>
        <w:t xml:space="preserve">guerra comercial entre Estados Unidos y China, las dos economías más grandes del mundo, ha hecho presión especialmente sobre la tasa de cambio colombiana, la cual pasó de oscilar alrededor de los $3.100 pesos a un valor de equilibrio cercano a los $3.500 pesos.  Esta caída tan marcada del valor de la moneda local frente al dólar, genera incertidumbre en los mercados de inversión; encarece los precios de los bienes transables –haciendo </w:t>
      </w:r>
      <w:r w:rsidRPr="001767DB">
        <w:rPr>
          <w:i/>
        </w:rPr>
        <w:t>pass through</w:t>
      </w:r>
      <w:r>
        <w:t xml:space="preserve"> a la inflación– y le quita espacio al Banco de la República para acompañar el crecimiento económico bajando tasas de interés.</w:t>
      </w:r>
    </w:p>
    <w:p w14:paraId="3467F191" w14:textId="296FD4E2" w:rsidR="00621A88" w:rsidRDefault="00621A88" w:rsidP="00621A88">
      <w:pPr>
        <w:pStyle w:val="Prrafodelista"/>
        <w:numPr>
          <w:ilvl w:val="0"/>
          <w:numId w:val="8"/>
        </w:numPr>
        <w:ind w:left="567" w:hanging="283"/>
        <w:jc w:val="both"/>
      </w:pPr>
      <w:r>
        <w:t xml:space="preserve">Así mismo, Latinoamérica ha atravesado un período de inestabilidad e incertidumbre política y económica, como por ejemplo la crisis de Venezuela y </w:t>
      </w:r>
      <w:r w:rsidR="00E47D47">
        <w:t>más recientemente las protestas en Ecuador y Chile.</w:t>
      </w:r>
    </w:p>
    <w:p w14:paraId="12AB068B" w14:textId="77777777" w:rsidR="00621A88" w:rsidRDefault="00621A88" w:rsidP="00621A88">
      <w:pPr>
        <w:pStyle w:val="Prrafodelista"/>
        <w:numPr>
          <w:ilvl w:val="0"/>
          <w:numId w:val="8"/>
        </w:numPr>
        <w:ind w:left="567" w:hanging="283"/>
        <w:jc w:val="both"/>
      </w:pPr>
      <w:r>
        <w:t>En tercer lugar, diferentes acciones del gobierno nacional han generado incertidumbre sobre variables claves para el consumo y la inversión privada. En especial, el debate, modificación, implementación y declaración de inexequibilidad de la ley de financiamiento ha modificado de manera negativa las expectativas de la situación económica de la ciudad y el país.</w:t>
      </w:r>
    </w:p>
    <w:p w14:paraId="070E83B2" w14:textId="77777777" w:rsidR="00E47D47" w:rsidRDefault="00621A88" w:rsidP="00E47D47">
      <w:pPr>
        <w:jc w:val="both"/>
      </w:pPr>
      <w:r>
        <w:t xml:space="preserve">Todos estos hechos generan un entorno de incertidumbre económica que tiene un efecto sobre la generación de empleo. La incertidumbre hace que las firmas sean más cautelosas a la hora de invertir y aumentar sus factores de producción, es decir, se encuentran expectantes y postergan sus decisiones de emplear y ampliar su personal.  Adicionalmente, los migrantes provenientes de Venezuela llegando al país y a Bogotá generan presiones directas sobre el mercado laboral, </w:t>
      </w:r>
      <w:r w:rsidR="00E47D47">
        <w:t>y sobre la tasa de desempleo, en cuanto a más personas están buscando un empleo en la ciudad</w:t>
      </w:r>
      <w:r>
        <w:t>.</w:t>
      </w:r>
    </w:p>
    <w:p w14:paraId="55FEFD72" w14:textId="77777777" w:rsidR="00E47D47" w:rsidRDefault="00621A88" w:rsidP="00E47D47">
      <w:pPr>
        <w:jc w:val="both"/>
      </w:pPr>
      <w:r>
        <w:t>Las demás razones que explican la tendencia del desempleo responden a elementos más estructurales y a una tendencia de largo plazo.  Una de ellas es que los aumentos de los salarios han crecido más que la productividad laboral en el país de manera consistente en los últimos años. Esto hace que cada año el costo relativo –salario/productividad– del trabajo crezca proporcionalmente más que el aumento del salario, por lo que las firmas están menos dispuestas a contratar.</w:t>
      </w:r>
    </w:p>
    <w:p w14:paraId="05812AED" w14:textId="047A9F7F" w:rsidR="0035170B" w:rsidRDefault="0035170B">
      <w:pPr>
        <w:spacing w:before="240" w:after="240"/>
        <w:jc w:val="both"/>
      </w:pPr>
      <w:r>
        <w:lastRenderedPageBreak/>
        <w:t>Ahora bien,</w:t>
      </w:r>
      <w:r w:rsidR="00714406">
        <w:t xml:space="preserve"> es importante destacar que</w:t>
      </w:r>
      <w:r>
        <w:t xml:space="preserve"> e</w:t>
      </w:r>
      <w:r w:rsidR="00714406">
        <w:t>l tamaño de la población ocupada</w:t>
      </w:r>
      <w:r>
        <w:t xml:space="preserve"> </w:t>
      </w:r>
      <w:r w:rsidR="00714406">
        <w:t>es de 4.197.260 personas según el DANE en el trimestre móvil junio – agosto 2019</w:t>
      </w:r>
      <w:r>
        <w:t>. La tasa global de participación y de ocupación es igualmente más alta en Bogotá que</w:t>
      </w:r>
      <w:r w:rsidR="00714406">
        <w:t xml:space="preserve"> en</w:t>
      </w:r>
      <w:r>
        <w:t xml:space="preserve"> el promedio del país:</w:t>
      </w:r>
    </w:p>
    <w:p w14:paraId="6F457339" w14:textId="7D1FC142" w:rsidR="00F8542A" w:rsidRDefault="00F8542A" w:rsidP="00AE5758">
      <w:pPr>
        <w:pStyle w:val="Ttulo2"/>
        <w:jc w:val="center"/>
      </w:pPr>
      <w:bookmarkStart w:id="6" w:name="_Toc23443956"/>
      <w:r w:rsidRPr="002022F1">
        <w:t xml:space="preserve">Gráfica 2. </w:t>
      </w:r>
      <w:r w:rsidR="001A0CC2" w:rsidRPr="002022F1">
        <w:t>Porcentajes Tasa global de participación (TGP) Tasa de ocupación (TO) y Tasa de desempleo (TD) (2018-2019</w:t>
      </w:r>
      <w:r w:rsidRPr="002022F1">
        <w:t>)</w:t>
      </w:r>
      <w:r w:rsidR="001A0CC2" w:rsidRPr="002022F1">
        <w:t>.</w:t>
      </w:r>
      <w:bookmarkEnd w:id="6"/>
    </w:p>
    <w:p w14:paraId="6AEECDF2" w14:textId="5E1DBF9C" w:rsidR="00AF34F5" w:rsidRDefault="0035170B" w:rsidP="00AF34F5">
      <w:pPr>
        <w:spacing w:before="240" w:after="240"/>
        <w:jc w:val="both"/>
      </w:pPr>
      <w:r>
        <w:rPr>
          <w:noProof/>
        </w:rPr>
        <w:drawing>
          <wp:inline distT="0" distB="0" distL="0" distR="0" wp14:anchorId="18D3C556" wp14:editId="6C29F53D">
            <wp:extent cx="5441950" cy="2920475"/>
            <wp:effectExtent l="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4223" cy="2927061"/>
                    </a:xfrm>
                    <a:prstGeom prst="rect">
                      <a:avLst/>
                    </a:prstGeom>
                    <a:noFill/>
                    <a:ln>
                      <a:noFill/>
                    </a:ln>
                  </pic:spPr>
                </pic:pic>
              </a:graphicData>
            </a:graphic>
          </wp:inline>
        </w:drawing>
      </w:r>
      <w:r>
        <w:t xml:space="preserve"> </w:t>
      </w:r>
    </w:p>
    <w:p w14:paraId="364CAF6B" w14:textId="0631267A" w:rsidR="001A0CC2" w:rsidRPr="0003254B" w:rsidRDefault="001A0CC2" w:rsidP="001A0CC2">
      <w:pPr>
        <w:spacing w:before="240" w:after="240"/>
        <w:jc w:val="center"/>
        <w:rPr>
          <w:i/>
          <w:sz w:val="20"/>
          <w:szCs w:val="20"/>
        </w:rPr>
      </w:pPr>
      <w:r w:rsidRPr="0003254B">
        <w:rPr>
          <w:b/>
          <w:i/>
          <w:sz w:val="20"/>
          <w:szCs w:val="20"/>
        </w:rPr>
        <w:t>Fuente:</w:t>
      </w:r>
      <w:r w:rsidRPr="0003254B">
        <w:rPr>
          <w:i/>
          <w:sz w:val="20"/>
          <w:szCs w:val="20"/>
        </w:rPr>
        <w:t xml:space="preserve"> Departamento Administrativo Nacional de Estadística (DANE)- GEIH.</w:t>
      </w:r>
    </w:p>
    <w:p w14:paraId="75D15683" w14:textId="77777777" w:rsidR="004F133B" w:rsidRDefault="00A5626B" w:rsidP="004F133B">
      <w:pPr>
        <w:spacing w:before="240" w:after="240"/>
        <w:jc w:val="both"/>
      </w:pPr>
      <w:r>
        <w:t xml:space="preserve">Los sectores más dinámicos en materia de generación de empleo en 2018, fueron, comercio, hoteles y restaurantes, con un crecimiento positivo de 2,1% equivalente a 23.487 personas ocupadas respecto al año 2017, seguido por el sector de servicios comunales con un crecimiento de 1,6% equivalente a 14.900 nuevos ocupados, intermediación financiera, con un crecimiento de 12,8% equivalente a 14.022 nuevos empleos y por último construcción con 4,9% de crecimiento y 10.672 empleos en esta rama. </w:t>
      </w:r>
    </w:p>
    <w:p w14:paraId="3DFC7CF3" w14:textId="5F9F0805" w:rsidR="00AF34F5" w:rsidRDefault="004F133B" w:rsidP="004F133B">
      <w:pPr>
        <w:spacing w:before="240" w:after="240"/>
        <w:jc w:val="both"/>
      </w:pPr>
      <w:r>
        <w:t xml:space="preserve">Ahora </w:t>
      </w:r>
      <w:r w:rsidR="00CA0C3F">
        <w:t>bien,</w:t>
      </w:r>
      <w:r>
        <w:t xml:space="preserve"> para utilizar datos más actualizados es necesario comparar las cifras recientes de 2019 en trimestres móviles, contra los mismos trimestres móviles </w:t>
      </w:r>
      <w:r w:rsidR="00CA0C3F">
        <w:t xml:space="preserve">del año anterior, debido a que el año 2019 no ha cerrado. </w:t>
      </w:r>
      <w:r w:rsidR="0035170B">
        <w:t xml:space="preserve">Es necesario destacar </w:t>
      </w:r>
      <w:r w:rsidR="00CA0C3F">
        <w:t xml:space="preserve">así </w:t>
      </w:r>
      <w:r w:rsidR="0035170B">
        <w:t>que</w:t>
      </w:r>
      <w:r w:rsidR="006602E4">
        <w:t xml:space="preserve"> la reactivación de la construcción permitió la generación de 107.889 nuevos empleos, con un crecimiento de 48,8%, pasando de ocupar 220.912 personas en trimestre junio - agosto de 2018 a 328.801 ocupados para el mismo período de 2019. Esta cifra de ocupados es la más alta </w:t>
      </w:r>
      <w:r w:rsidR="00C55AF9">
        <w:t>registrada en la historia</w:t>
      </w:r>
      <w:r w:rsidR="006602E4">
        <w:t xml:space="preserve"> para este sector económico</w:t>
      </w:r>
      <w:r w:rsidR="00C55AF9">
        <w:t xml:space="preserve"> jalonados en buena medida por los </w:t>
      </w:r>
      <w:r w:rsidR="00683685">
        <w:t>más</w:t>
      </w:r>
      <w:r w:rsidR="00C55AF9">
        <w:t xml:space="preserve"> de 2</w:t>
      </w:r>
      <w:r w:rsidR="00AF34F5">
        <w:t>.</w:t>
      </w:r>
      <w:r w:rsidR="00C55AF9">
        <w:t>500 frentes de obras de la Alcaldía.</w:t>
      </w:r>
    </w:p>
    <w:p w14:paraId="09157700" w14:textId="77777777" w:rsidR="00B03B0E" w:rsidRDefault="00B03B0E" w:rsidP="004F133B">
      <w:pPr>
        <w:spacing w:before="240" w:after="240"/>
        <w:jc w:val="both"/>
      </w:pPr>
    </w:p>
    <w:p w14:paraId="3821A561" w14:textId="31192314" w:rsidR="001A0CC2" w:rsidRDefault="00AE5758" w:rsidP="0003254B">
      <w:pPr>
        <w:pStyle w:val="Ttulo2"/>
        <w:jc w:val="center"/>
      </w:pPr>
      <w:bookmarkStart w:id="7" w:name="_Toc23443957"/>
      <w:r w:rsidRPr="002022F1">
        <w:lastRenderedPageBreak/>
        <w:t>Gráfica 3</w:t>
      </w:r>
      <w:r w:rsidR="001A0CC2" w:rsidRPr="002022F1">
        <w:t xml:space="preserve">. </w:t>
      </w:r>
      <w:r w:rsidR="00037460" w:rsidRPr="002022F1">
        <w:t>O</w:t>
      </w:r>
      <w:r w:rsidR="001A0CC2" w:rsidRPr="002022F1">
        <w:t>cupados sector construcción en Bogotá (2001-2019)</w:t>
      </w:r>
      <w:bookmarkEnd w:id="7"/>
    </w:p>
    <w:p w14:paraId="379767DB" w14:textId="77777777" w:rsidR="00412AC6" w:rsidRDefault="00412AC6">
      <w:pPr>
        <w:jc w:val="both"/>
      </w:pPr>
    </w:p>
    <w:p w14:paraId="55CDF297" w14:textId="64C6BB30" w:rsidR="00C55AF9" w:rsidRDefault="00C55AF9" w:rsidP="00412AC6">
      <w:pPr>
        <w:jc w:val="center"/>
      </w:pPr>
      <w:r>
        <w:rPr>
          <w:noProof/>
        </w:rPr>
        <w:drawing>
          <wp:inline distT="0" distB="0" distL="0" distR="0" wp14:anchorId="7D3AD8D4" wp14:editId="0B9D0718">
            <wp:extent cx="4486939" cy="2348561"/>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1619" cy="2361479"/>
                    </a:xfrm>
                    <a:prstGeom prst="rect">
                      <a:avLst/>
                    </a:prstGeom>
                    <a:noFill/>
                    <a:ln>
                      <a:noFill/>
                    </a:ln>
                  </pic:spPr>
                </pic:pic>
              </a:graphicData>
            </a:graphic>
          </wp:inline>
        </w:drawing>
      </w:r>
    </w:p>
    <w:p w14:paraId="46780A7C" w14:textId="6C65EC9B" w:rsidR="00412AC6" w:rsidRPr="00C277C6" w:rsidRDefault="00AF34F5" w:rsidP="00AB3CD5">
      <w:pPr>
        <w:ind w:left="720" w:hanging="720"/>
        <w:jc w:val="center"/>
        <w:rPr>
          <w:sz w:val="20"/>
          <w:szCs w:val="20"/>
        </w:rPr>
      </w:pPr>
      <w:r w:rsidRPr="00D14429">
        <w:rPr>
          <w:b/>
          <w:sz w:val="20"/>
          <w:szCs w:val="20"/>
        </w:rPr>
        <w:t>Fuente:</w:t>
      </w:r>
      <w:r w:rsidRPr="00714406">
        <w:rPr>
          <w:sz w:val="20"/>
          <w:szCs w:val="20"/>
        </w:rPr>
        <w:t xml:space="preserve"> </w:t>
      </w:r>
      <w:r w:rsidRPr="00D14429">
        <w:rPr>
          <w:i/>
          <w:sz w:val="20"/>
          <w:szCs w:val="20"/>
        </w:rPr>
        <w:t>DANE</w:t>
      </w:r>
      <w:r w:rsidR="00412AC6" w:rsidRPr="00D14429">
        <w:rPr>
          <w:i/>
          <w:sz w:val="20"/>
          <w:szCs w:val="20"/>
        </w:rPr>
        <w:t>-</w:t>
      </w:r>
      <w:r w:rsidR="00412AC6" w:rsidRPr="00D14429">
        <w:rPr>
          <w:i/>
        </w:rPr>
        <w:t xml:space="preserve"> </w:t>
      </w:r>
      <w:r w:rsidR="00412AC6" w:rsidRPr="00D14429">
        <w:rPr>
          <w:i/>
          <w:sz w:val="20"/>
          <w:szCs w:val="20"/>
        </w:rPr>
        <w:t>GEIH</w:t>
      </w:r>
      <w:r w:rsidR="00037460" w:rsidRPr="00D14429">
        <w:rPr>
          <w:i/>
          <w:sz w:val="20"/>
          <w:szCs w:val="20"/>
        </w:rPr>
        <w:t>. Elaboración ODEB.</w:t>
      </w:r>
      <w:r w:rsidR="00037460">
        <w:rPr>
          <w:sz w:val="20"/>
          <w:szCs w:val="20"/>
        </w:rPr>
        <w:t xml:space="preserve"> </w:t>
      </w:r>
    </w:p>
    <w:p w14:paraId="3443557F" w14:textId="5D68DA24" w:rsidR="00AF34F5" w:rsidRDefault="00C55AF9">
      <w:pPr>
        <w:jc w:val="both"/>
        <w:rPr>
          <w:noProof/>
        </w:rPr>
      </w:pPr>
      <w:r w:rsidRPr="00C55AF9">
        <w:rPr>
          <w:rFonts w:asciiTheme="minorHAnsi" w:eastAsia="Arial" w:hAnsiTheme="minorHAnsi" w:cstheme="minorHAnsi"/>
        </w:rPr>
        <w:t>El número de ocupados en el sector construcción en Bogotá</w:t>
      </w:r>
      <w:r>
        <w:rPr>
          <w:rFonts w:asciiTheme="minorHAnsi" w:eastAsia="Arial" w:hAnsiTheme="minorHAnsi" w:cstheme="minorHAnsi"/>
        </w:rPr>
        <w:t>, como se refleja en la gráfica</w:t>
      </w:r>
      <w:r w:rsidR="00AF34F5">
        <w:rPr>
          <w:rFonts w:asciiTheme="minorHAnsi" w:eastAsia="Arial" w:hAnsiTheme="minorHAnsi" w:cstheme="minorHAnsi"/>
        </w:rPr>
        <w:t xml:space="preserve"> anterior,</w:t>
      </w:r>
      <w:r w:rsidRPr="00C55AF9">
        <w:rPr>
          <w:rFonts w:asciiTheme="minorHAnsi" w:eastAsia="Arial" w:hAnsiTheme="minorHAnsi" w:cstheme="minorHAnsi"/>
        </w:rPr>
        <w:t xml:space="preserve"> alcanzó un máximo histórico. Según el DANE, el sector emplea cerca 329.000 personas en la ciudad</w:t>
      </w:r>
      <w:r>
        <w:rPr>
          <w:rFonts w:asciiTheme="minorHAnsi" w:eastAsia="Arial" w:hAnsiTheme="minorHAnsi" w:cstheme="minorHAnsi"/>
        </w:rPr>
        <w:t>, y d</w:t>
      </w:r>
      <w:r w:rsidRPr="00C55AF9">
        <w:rPr>
          <w:rFonts w:asciiTheme="minorHAnsi" w:eastAsia="Arial" w:hAnsiTheme="minorHAnsi" w:cstheme="minorHAnsi"/>
        </w:rPr>
        <w:t>el total de nuevos empleos generados por todo el país en el sector construcción (169.278), el 64% se generaron en Bogotá (107.889)</w:t>
      </w:r>
      <w:r w:rsidR="00CA0C3F">
        <w:rPr>
          <w:rFonts w:asciiTheme="minorHAnsi" w:eastAsia="Arial" w:hAnsiTheme="minorHAnsi" w:cstheme="minorHAnsi"/>
        </w:rPr>
        <w:t xml:space="preserve">. </w:t>
      </w:r>
      <w:r w:rsidR="00610EDE">
        <w:rPr>
          <w:rFonts w:asciiTheme="minorHAnsi" w:eastAsia="Arial" w:hAnsiTheme="minorHAnsi" w:cstheme="minorHAnsi"/>
        </w:rPr>
        <w:t>Es</w:t>
      </w:r>
      <w:r w:rsidR="00CA0C3F">
        <w:rPr>
          <w:rFonts w:asciiTheme="minorHAnsi" w:eastAsia="Arial" w:hAnsiTheme="minorHAnsi" w:cstheme="minorHAnsi"/>
        </w:rPr>
        <w:t xml:space="preserve"> decir 6 de cada 10 empleos generados en el país por el sector, se generaron en Bogotá</w:t>
      </w:r>
      <w:r w:rsidR="003310A5">
        <w:rPr>
          <w:rFonts w:asciiTheme="minorHAnsi" w:eastAsia="Arial" w:hAnsiTheme="minorHAnsi" w:cstheme="minorHAnsi"/>
        </w:rPr>
        <w:t xml:space="preserve"> como se explica a continuación:</w:t>
      </w:r>
      <w:r w:rsidR="00AF34F5" w:rsidRPr="00AF34F5">
        <w:rPr>
          <w:noProof/>
        </w:rPr>
        <w:t xml:space="preserve"> </w:t>
      </w:r>
    </w:p>
    <w:p w14:paraId="6695F173" w14:textId="7EB0FA9D" w:rsidR="00037460" w:rsidRDefault="00AE5758" w:rsidP="0003254B">
      <w:pPr>
        <w:pStyle w:val="Ttulo2"/>
        <w:jc w:val="center"/>
      </w:pPr>
      <w:bookmarkStart w:id="8" w:name="_Toc23443958"/>
      <w:r w:rsidRPr="002022F1">
        <w:t>Gráfica 4</w:t>
      </w:r>
      <w:r w:rsidR="00037460" w:rsidRPr="002022F1">
        <w:t>. Total nuevos empleos sector construcción (Trimestre móvil 2018- 2019).</w:t>
      </w:r>
      <w:bookmarkEnd w:id="8"/>
    </w:p>
    <w:p w14:paraId="0B91FA7E" w14:textId="77777777" w:rsidR="00037460" w:rsidRDefault="00037460" w:rsidP="0003254B">
      <w:pPr>
        <w:jc w:val="center"/>
        <w:rPr>
          <w:noProof/>
        </w:rPr>
      </w:pPr>
    </w:p>
    <w:p w14:paraId="32DFF9B5" w14:textId="74E93666" w:rsidR="00C55AF9" w:rsidRDefault="00AF34F5" w:rsidP="00412AC6">
      <w:pPr>
        <w:jc w:val="center"/>
        <w:rPr>
          <w:rFonts w:asciiTheme="minorHAnsi" w:eastAsia="Arial" w:hAnsiTheme="minorHAnsi" w:cstheme="minorHAnsi"/>
        </w:rPr>
      </w:pPr>
      <w:r>
        <w:rPr>
          <w:noProof/>
        </w:rPr>
        <w:drawing>
          <wp:inline distT="0" distB="0" distL="0" distR="0" wp14:anchorId="22EDACEF" wp14:editId="600A2477">
            <wp:extent cx="3819525" cy="1999222"/>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0183" cy="2030972"/>
                    </a:xfrm>
                    <a:prstGeom prst="rect">
                      <a:avLst/>
                    </a:prstGeom>
                    <a:noFill/>
                    <a:ln>
                      <a:noFill/>
                    </a:ln>
                  </pic:spPr>
                </pic:pic>
              </a:graphicData>
            </a:graphic>
          </wp:inline>
        </w:drawing>
      </w:r>
    </w:p>
    <w:p w14:paraId="31D8E888" w14:textId="2869C597" w:rsidR="00037460" w:rsidRPr="00037460" w:rsidRDefault="00037460" w:rsidP="00412AC6">
      <w:pPr>
        <w:jc w:val="center"/>
        <w:rPr>
          <w:rFonts w:asciiTheme="minorHAnsi" w:eastAsia="Arial" w:hAnsiTheme="minorHAnsi" w:cstheme="minorHAnsi"/>
          <w:sz w:val="20"/>
          <w:szCs w:val="20"/>
        </w:rPr>
      </w:pPr>
      <w:r w:rsidRPr="00D14429">
        <w:rPr>
          <w:rFonts w:asciiTheme="minorHAnsi" w:eastAsia="Arial" w:hAnsiTheme="minorHAnsi" w:cstheme="minorHAnsi"/>
          <w:b/>
          <w:sz w:val="20"/>
          <w:szCs w:val="20"/>
        </w:rPr>
        <w:t>Fuente:</w:t>
      </w:r>
      <w:r w:rsidRPr="00037460">
        <w:rPr>
          <w:rFonts w:asciiTheme="minorHAnsi" w:eastAsia="Arial" w:hAnsiTheme="minorHAnsi" w:cstheme="minorHAnsi"/>
          <w:sz w:val="20"/>
          <w:szCs w:val="20"/>
        </w:rPr>
        <w:t xml:space="preserve"> </w:t>
      </w:r>
      <w:r w:rsidRPr="00D14429">
        <w:rPr>
          <w:rFonts w:asciiTheme="minorHAnsi" w:eastAsia="Arial" w:hAnsiTheme="minorHAnsi" w:cstheme="minorHAnsi"/>
          <w:i/>
          <w:sz w:val="20"/>
          <w:szCs w:val="20"/>
        </w:rPr>
        <w:t>DANE-GEIH. Elaboración ODEB</w:t>
      </w:r>
      <w:r w:rsidRPr="00037460">
        <w:rPr>
          <w:rFonts w:asciiTheme="minorHAnsi" w:eastAsia="Arial" w:hAnsiTheme="minorHAnsi" w:cstheme="minorHAnsi"/>
          <w:sz w:val="20"/>
          <w:szCs w:val="20"/>
        </w:rPr>
        <w:t>.</w:t>
      </w:r>
    </w:p>
    <w:p w14:paraId="2634C381" w14:textId="77777777" w:rsidR="00037460" w:rsidRDefault="00037460" w:rsidP="00412AC6">
      <w:pPr>
        <w:jc w:val="center"/>
        <w:rPr>
          <w:rFonts w:asciiTheme="minorHAnsi" w:eastAsia="Arial" w:hAnsiTheme="minorHAnsi" w:cstheme="minorHAnsi"/>
        </w:rPr>
      </w:pPr>
    </w:p>
    <w:p w14:paraId="154E0716" w14:textId="75C79742" w:rsidR="00C55AF9" w:rsidRDefault="00C55AF9">
      <w:pPr>
        <w:jc w:val="both"/>
        <w:rPr>
          <w:rFonts w:asciiTheme="minorHAnsi" w:eastAsia="Arial" w:hAnsiTheme="minorHAnsi" w:cstheme="minorHAnsi"/>
        </w:rPr>
      </w:pPr>
    </w:p>
    <w:p w14:paraId="2E33352A" w14:textId="7115EAB9" w:rsidR="00404243" w:rsidRDefault="00AF34F5">
      <w:pPr>
        <w:pBdr>
          <w:top w:val="nil"/>
          <w:left w:val="nil"/>
          <w:bottom w:val="nil"/>
          <w:right w:val="nil"/>
          <w:between w:val="nil"/>
        </w:pBdr>
        <w:jc w:val="both"/>
      </w:pPr>
      <w:r>
        <w:t>Así</w:t>
      </w:r>
      <w:r w:rsidR="00404243">
        <w:t xml:space="preserve"> mismo en empleo, es importante registrar el crecimiento en el sector turismo. </w:t>
      </w:r>
      <w:r w:rsidR="00404243" w:rsidRPr="00404243">
        <w:t xml:space="preserve">Durante el mes de junio del año 2019, en Bogotá se generaron más de 334.800 empleos directos e indirectos en el sector del turismo, en comparación al mismo periodo del año 2015, con 257.127 empleos, </w:t>
      </w:r>
      <w:r w:rsidR="00CA0C3F">
        <w:t>registrando</w:t>
      </w:r>
      <w:r w:rsidR="00404243" w:rsidRPr="00404243">
        <w:t xml:space="preserve"> un aumento del 30,2%</w:t>
      </w:r>
      <w:r w:rsidR="00404243">
        <w:t xml:space="preserve">, </w:t>
      </w:r>
      <w:r w:rsidR="00CA0C3F">
        <w:t>según</w:t>
      </w:r>
      <w:r w:rsidR="00404243" w:rsidRPr="00404243">
        <w:t xml:space="preserve"> la encuesta GEIH</w:t>
      </w:r>
      <w:r w:rsidR="00412AC6">
        <w:t xml:space="preserve"> (Gran Encuesta Integrada de Hogares)</w:t>
      </w:r>
      <w:r w:rsidR="00404243" w:rsidRPr="00404243">
        <w:t xml:space="preserve"> del DANE</w:t>
      </w:r>
      <w:r w:rsidR="00404243">
        <w:t xml:space="preserve">. </w:t>
      </w:r>
    </w:p>
    <w:p w14:paraId="7793ED51" w14:textId="07EBCD5E" w:rsidR="00037460" w:rsidRDefault="00AE5758" w:rsidP="0003254B">
      <w:pPr>
        <w:pStyle w:val="Ttulo2"/>
        <w:jc w:val="center"/>
      </w:pPr>
      <w:bookmarkStart w:id="9" w:name="_Toc23443959"/>
      <w:r w:rsidRPr="002022F1">
        <w:t>Gráfica 5</w:t>
      </w:r>
      <w:r w:rsidR="00037460" w:rsidRPr="002022F1">
        <w:t>. Empleos generados en el sector turismo de Bogotá.</w:t>
      </w:r>
      <w:bookmarkEnd w:id="9"/>
    </w:p>
    <w:p w14:paraId="0BDBEA45" w14:textId="77293258" w:rsidR="00037460" w:rsidRPr="00037460" w:rsidRDefault="00037460" w:rsidP="00412AC6">
      <w:pPr>
        <w:pBdr>
          <w:top w:val="nil"/>
          <w:left w:val="nil"/>
          <w:bottom w:val="nil"/>
          <w:right w:val="nil"/>
          <w:between w:val="nil"/>
        </w:pBdr>
        <w:jc w:val="center"/>
        <w:rPr>
          <w:noProof/>
          <w:lang w:val="es-ES" w:eastAsia="en-US"/>
        </w:rPr>
      </w:pPr>
    </w:p>
    <w:p w14:paraId="01DA3D6D" w14:textId="00397E3A" w:rsidR="00404243" w:rsidRDefault="00404243" w:rsidP="00412AC6">
      <w:pPr>
        <w:pBdr>
          <w:top w:val="nil"/>
          <w:left w:val="nil"/>
          <w:bottom w:val="nil"/>
          <w:right w:val="nil"/>
          <w:between w:val="nil"/>
        </w:pBdr>
        <w:jc w:val="center"/>
      </w:pPr>
      <w:r>
        <w:rPr>
          <w:noProof/>
        </w:rPr>
        <w:drawing>
          <wp:inline distT="0" distB="0" distL="0" distR="0" wp14:anchorId="41B844A1" wp14:editId="4B8F9F8B">
            <wp:extent cx="4666960" cy="2327910"/>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t="14366"/>
                    <a:stretch/>
                  </pic:blipFill>
                  <pic:spPr bwMode="auto">
                    <a:xfrm>
                      <a:off x="0" y="0"/>
                      <a:ext cx="4684130" cy="233647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DABF387" w14:textId="656C5466" w:rsidR="002022F1" w:rsidRDefault="00037460" w:rsidP="002022F1">
      <w:pPr>
        <w:spacing w:after="160" w:line="254" w:lineRule="auto"/>
        <w:ind w:left="720" w:hanging="720"/>
        <w:jc w:val="center"/>
      </w:pPr>
      <w:r w:rsidRPr="00D14429">
        <w:rPr>
          <w:b/>
          <w:sz w:val="20"/>
          <w:szCs w:val="20"/>
        </w:rPr>
        <w:t>Fuente:</w:t>
      </w:r>
      <w:r w:rsidRPr="00037460">
        <w:rPr>
          <w:sz w:val="20"/>
          <w:szCs w:val="20"/>
        </w:rPr>
        <w:t xml:space="preserve"> </w:t>
      </w:r>
      <w:r w:rsidRPr="00D14429">
        <w:rPr>
          <w:i/>
          <w:sz w:val="20"/>
          <w:szCs w:val="20"/>
        </w:rPr>
        <w:t>DANE- GEIH.</w:t>
      </w:r>
      <w:r w:rsidRPr="00037460">
        <w:rPr>
          <w:sz w:val="20"/>
          <w:szCs w:val="20"/>
        </w:rPr>
        <w:t xml:space="preserve"> </w:t>
      </w:r>
      <w:r w:rsidR="002022F1">
        <w:rPr>
          <w:sz w:val="20"/>
          <w:szCs w:val="20"/>
        </w:rPr>
        <w:t xml:space="preserve">Elaboración Observatorio de Turismo. Recuperado de: </w:t>
      </w:r>
      <w:r w:rsidR="002022F1" w:rsidRPr="002022F1">
        <w:t>http://www.sitbog.gov.co/public/files/PPT-Viajeros-2018.pdf</w:t>
      </w:r>
    </w:p>
    <w:p w14:paraId="38AC1D96" w14:textId="48508B2E" w:rsidR="00037460" w:rsidRPr="00037460" w:rsidRDefault="00037460" w:rsidP="00412AC6">
      <w:pPr>
        <w:pBdr>
          <w:top w:val="nil"/>
          <w:left w:val="nil"/>
          <w:bottom w:val="nil"/>
          <w:right w:val="nil"/>
          <w:between w:val="nil"/>
        </w:pBdr>
        <w:jc w:val="center"/>
        <w:rPr>
          <w:sz w:val="20"/>
          <w:szCs w:val="20"/>
        </w:rPr>
      </w:pPr>
    </w:p>
    <w:p w14:paraId="65129EB2" w14:textId="34495D88" w:rsidR="00404243" w:rsidRDefault="00404243">
      <w:pPr>
        <w:pBdr>
          <w:top w:val="nil"/>
          <w:left w:val="nil"/>
          <w:bottom w:val="nil"/>
          <w:right w:val="nil"/>
          <w:between w:val="nil"/>
        </w:pBdr>
        <w:jc w:val="both"/>
      </w:pPr>
      <w:r>
        <w:t xml:space="preserve">Este comportamiento positivo está asociado al crecimiento histórico en turismo registrado, el </w:t>
      </w:r>
      <w:r w:rsidR="00412AC6">
        <w:t>cual</w:t>
      </w:r>
      <w:r>
        <w:t xml:space="preserve"> tiene a Bogotá como el primer destino turístico del país si se tiene en cuenta el número de turistas internacionales que recibe anualmente. Ahora </w:t>
      </w:r>
      <w:r w:rsidR="00683685">
        <w:t>bien,</w:t>
      </w:r>
      <w:r>
        <w:t xml:space="preserve"> teniendo en cuenta los turistas nacionales e internacionales, registramos un número </w:t>
      </w:r>
      <w:r w:rsidR="00412AC6">
        <w:t>aún</w:t>
      </w:r>
      <w:r>
        <w:t xml:space="preserve"> mayor que genera impactos muy importantes para la economía, el empleo y las divisas en la ciudad. </w:t>
      </w:r>
    </w:p>
    <w:p w14:paraId="7D95EBBE" w14:textId="25216B05" w:rsidR="00037460" w:rsidRDefault="00037460">
      <w:pPr>
        <w:pBdr>
          <w:top w:val="nil"/>
          <w:left w:val="nil"/>
          <w:bottom w:val="nil"/>
          <w:right w:val="nil"/>
          <w:between w:val="nil"/>
        </w:pBdr>
        <w:jc w:val="both"/>
      </w:pPr>
    </w:p>
    <w:p w14:paraId="0E135777" w14:textId="133840FC" w:rsidR="00037460" w:rsidRDefault="00037460">
      <w:pPr>
        <w:pBdr>
          <w:top w:val="nil"/>
          <w:left w:val="nil"/>
          <w:bottom w:val="nil"/>
          <w:right w:val="nil"/>
          <w:between w:val="nil"/>
        </w:pBdr>
        <w:jc w:val="both"/>
      </w:pPr>
    </w:p>
    <w:p w14:paraId="7021CC3A" w14:textId="67671448" w:rsidR="00037460" w:rsidRDefault="00037460">
      <w:pPr>
        <w:pBdr>
          <w:top w:val="nil"/>
          <w:left w:val="nil"/>
          <w:bottom w:val="nil"/>
          <w:right w:val="nil"/>
          <w:between w:val="nil"/>
        </w:pBdr>
        <w:jc w:val="both"/>
      </w:pPr>
    </w:p>
    <w:p w14:paraId="78820B0F" w14:textId="523F4F8B" w:rsidR="00037460" w:rsidRDefault="00037460">
      <w:pPr>
        <w:pBdr>
          <w:top w:val="nil"/>
          <w:left w:val="nil"/>
          <w:bottom w:val="nil"/>
          <w:right w:val="nil"/>
          <w:between w:val="nil"/>
        </w:pBdr>
        <w:jc w:val="both"/>
      </w:pPr>
    </w:p>
    <w:p w14:paraId="61DB5C77" w14:textId="0F88166A" w:rsidR="00037460" w:rsidRDefault="00037460">
      <w:pPr>
        <w:pBdr>
          <w:top w:val="nil"/>
          <w:left w:val="nil"/>
          <w:bottom w:val="nil"/>
          <w:right w:val="nil"/>
          <w:between w:val="nil"/>
        </w:pBdr>
        <w:jc w:val="both"/>
      </w:pPr>
    </w:p>
    <w:p w14:paraId="6A4A122F" w14:textId="1492CDC2" w:rsidR="00037460" w:rsidRDefault="00037460">
      <w:pPr>
        <w:pBdr>
          <w:top w:val="nil"/>
          <w:left w:val="nil"/>
          <w:bottom w:val="nil"/>
          <w:right w:val="nil"/>
          <w:between w:val="nil"/>
        </w:pBdr>
        <w:jc w:val="both"/>
      </w:pPr>
    </w:p>
    <w:p w14:paraId="0D16277A" w14:textId="2D4CFBA8" w:rsidR="00037460" w:rsidRDefault="00AE5758" w:rsidP="0003254B">
      <w:pPr>
        <w:pStyle w:val="Ttulo2"/>
        <w:jc w:val="center"/>
      </w:pPr>
      <w:bookmarkStart w:id="10" w:name="_Toc23443960"/>
      <w:r w:rsidRPr="002022F1">
        <w:lastRenderedPageBreak/>
        <w:t>Gráfica 6</w:t>
      </w:r>
      <w:r w:rsidR="00037460" w:rsidRPr="002022F1">
        <w:t xml:space="preserve">. Número de turistas </w:t>
      </w:r>
      <w:r w:rsidR="00161ED0" w:rsidRPr="002022F1">
        <w:t>en Bogotá (2015-2018).</w:t>
      </w:r>
      <w:bookmarkEnd w:id="10"/>
    </w:p>
    <w:p w14:paraId="5ADC00E2" w14:textId="77777777" w:rsidR="00037460" w:rsidRDefault="00037460">
      <w:pPr>
        <w:pBdr>
          <w:top w:val="nil"/>
          <w:left w:val="nil"/>
          <w:bottom w:val="nil"/>
          <w:right w:val="nil"/>
          <w:between w:val="nil"/>
        </w:pBdr>
        <w:jc w:val="both"/>
      </w:pPr>
    </w:p>
    <w:p w14:paraId="0522BDEB" w14:textId="71285621" w:rsidR="00404243" w:rsidRDefault="006E3A8E" w:rsidP="00037460">
      <w:pPr>
        <w:pBdr>
          <w:top w:val="nil"/>
          <w:left w:val="nil"/>
          <w:bottom w:val="nil"/>
          <w:right w:val="nil"/>
          <w:between w:val="nil"/>
        </w:pBdr>
        <w:jc w:val="center"/>
      </w:pPr>
      <w:r>
        <w:rPr>
          <w:noProof/>
        </w:rPr>
        <w:drawing>
          <wp:inline distT="0" distB="0" distL="0" distR="0" wp14:anchorId="189EF3F6" wp14:editId="45A6E67F">
            <wp:extent cx="3657600" cy="171790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606"/>
                    <a:stretch/>
                  </pic:blipFill>
                  <pic:spPr bwMode="auto">
                    <a:xfrm>
                      <a:off x="0" y="0"/>
                      <a:ext cx="3665219" cy="172148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37D35E3" w14:textId="56B112A9" w:rsidR="00161ED0" w:rsidRPr="00161ED0" w:rsidRDefault="00161ED0" w:rsidP="00037460">
      <w:pPr>
        <w:pBdr>
          <w:top w:val="nil"/>
          <w:left w:val="nil"/>
          <w:bottom w:val="nil"/>
          <w:right w:val="nil"/>
          <w:between w:val="nil"/>
        </w:pBdr>
        <w:jc w:val="center"/>
        <w:rPr>
          <w:sz w:val="20"/>
          <w:szCs w:val="20"/>
        </w:rPr>
      </w:pPr>
      <w:r w:rsidRPr="00D14429">
        <w:rPr>
          <w:b/>
          <w:sz w:val="20"/>
          <w:szCs w:val="20"/>
        </w:rPr>
        <w:t>Fuente:</w:t>
      </w:r>
      <w:r w:rsidRPr="00161ED0">
        <w:rPr>
          <w:sz w:val="20"/>
          <w:szCs w:val="20"/>
        </w:rPr>
        <w:t xml:space="preserve"> </w:t>
      </w:r>
      <w:r w:rsidRPr="00D14429">
        <w:rPr>
          <w:i/>
          <w:sz w:val="20"/>
          <w:szCs w:val="20"/>
        </w:rPr>
        <w:t>Investigación Encuesta de Viajeros en Bogotá 2018.</w:t>
      </w:r>
      <w:r w:rsidRPr="00161ED0">
        <w:rPr>
          <w:sz w:val="20"/>
          <w:szCs w:val="20"/>
        </w:rPr>
        <w:t xml:space="preserve"> </w:t>
      </w:r>
      <w:r w:rsidR="002022F1">
        <w:rPr>
          <w:sz w:val="20"/>
          <w:szCs w:val="20"/>
        </w:rPr>
        <w:t xml:space="preserve">Elaborado por Observatorio de Turismo. Recuperado de: </w:t>
      </w:r>
      <w:r w:rsidR="002022F1" w:rsidRPr="002022F1">
        <w:rPr>
          <w:sz w:val="20"/>
          <w:szCs w:val="20"/>
        </w:rPr>
        <w:t>http://www.sitbog.gov.co/public/files/PPT-Viajeros-2018.pdf</w:t>
      </w:r>
    </w:p>
    <w:p w14:paraId="1E4FDF2F" w14:textId="4128E964" w:rsidR="000A7CAF" w:rsidRDefault="00CA0C3F">
      <w:pPr>
        <w:pBdr>
          <w:top w:val="nil"/>
          <w:left w:val="nil"/>
          <w:bottom w:val="nil"/>
          <w:right w:val="nil"/>
          <w:between w:val="nil"/>
        </w:pBdr>
        <w:jc w:val="both"/>
      </w:pPr>
      <w:r>
        <w:t>Según</w:t>
      </w:r>
      <w:r w:rsidR="006602E4">
        <w:t xml:space="preserve"> los datos consignados en el “Balance de logros y retos de ciudad: Bogotá 2016-2018” publicado por la Veeduría Distrital</w:t>
      </w:r>
      <w:r w:rsidR="006602E4">
        <w:rPr>
          <w:vertAlign w:val="superscript"/>
        </w:rPr>
        <w:footnoteReference w:id="2"/>
      </w:r>
      <w:r w:rsidR="006602E4">
        <w:t xml:space="preserve">, para el periodo comprendido entre 2015 y 2018 la ciudad presentó una </w:t>
      </w:r>
      <w:r w:rsidR="0035170B">
        <w:t>reducción</w:t>
      </w:r>
      <w:r w:rsidR="006602E4">
        <w:t xml:space="preserve"> en los niveles de trabajo informal. En particular, en los tres últimos años el número de trabajadores en empleos informales ha disminuido significativamente.</w:t>
      </w:r>
    </w:p>
    <w:p w14:paraId="4E0EB04B" w14:textId="48D23FCB" w:rsidR="00412AC6" w:rsidRDefault="006602E4">
      <w:pPr>
        <w:pBdr>
          <w:top w:val="nil"/>
          <w:left w:val="nil"/>
          <w:bottom w:val="nil"/>
          <w:right w:val="nil"/>
          <w:between w:val="nil"/>
        </w:pBdr>
        <w:jc w:val="both"/>
      </w:pPr>
      <w:r>
        <w:t xml:space="preserve">Al respecto, la </w:t>
      </w:r>
      <w:r w:rsidR="00412AC6">
        <w:t>encuesta GEIH</w:t>
      </w:r>
      <w:r>
        <w:t>, para el trimestre Junio – agosto 2019, reporta que la informalidad en Bogotá se redujo a 39.4%, c</w:t>
      </w:r>
      <w:r w:rsidR="00412AC6">
        <w:t>ifra que se encontraba en el 42</w:t>
      </w:r>
      <w:r>
        <w:t>% para el trimestre febrero – abril de 2018; cifras que siguen posicionando a la capital del país como una de las ciudades con menor tasa de informalidad fuerte respecto a las 23 ciudades y áreas metropolitanas que hacen parte de la encuesta.</w:t>
      </w:r>
    </w:p>
    <w:p w14:paraId="44E61A59" w14:textId="22B57453" w:rsidR="00161ED0" w:rsidRDefault="00161ED0">
      <w:pPr>
        <w:pBdr>
          <w:top w:val="nil"/>
          <w:left w:val="nil"/>
          <w:bottom w:val="nil"/>
          <w:right w:val="nil"/>
          <w:between w:val="nil"/>
        </w:pBdr>
        <w:jc w:val="both"/>
      </w:pPr>
    </w:p>
    <w:p w14:paraId="263C4D2D" w14:textId="69A5904A" w:rsidR="00161ED0" w:rsidRDefault="00161ED0">
      <w:pPr>
        <w:pBdr>
          <w:top w:val="nil"/>
          <w:left w:val="nil"/>
          <w:bottom w:val="nil"/>
          <w:right w:val="nil"/>
          <w:between w:val="nil"/>
        </w:pBdr>
        <w:jc w:val="both"/>
      </w:pPr>
    </w:p>
    <w:p w14:paraId="0F9D58B4" w14:textId="79E7BAF9" w:rsidR="00161ED0" w:rsidRDefault="00161ED0">
      <w:pPr>
        <w:pBdr>
          <w:top w:val="nil"/>
          <w:left w:val="nil"/>
          <w:bottom w:val="nil"/>
          <w:right w:val="nil"/>
          <w:between w:val="nil"/>
        </w:pBdr>
        <w:jc w:val="both"/>
      </w:pPr>
    </w:p>
    <w:p w14:paraId="49FCD014" w14:textId="138A55D2" w:rsidR="00161ED0" w:rsidRDefault="00161ED0">
      <w:pPr>
        <w:pBdr>
          <w:top w:val="nil"/>
          <w:left w:val="nil"/>
          <w:bottom w:val="nil"/>
          <w:right w:val="nil"/>
          <w:between w:val="nil"/>
        </w:pBdr>
        <w:jc w:val="both"/>
      </w:pPr>
    </w:p>
    <w:p w14:paraId="3D0B1DED" w14:textId="405C63D1" w:rsidR="00161ED0" w:rsidRDefault="00161ED0">
      <w:pPr>
        <w:pBdr>
          <w:top w:val="nil"/>
          <w:left w:val="nil"/>
          <w:bottom w:val="nil"/>
          <w:right w:val="nil"/>
          <w:between w:val="nil"/>
        </w:pBdr>
        <w:jc w:val="both"/>
      </w:pPr>
    </w:p>
    <w:p w14:paraId="336E1893" w14:textId="62A626D5" w:rsidR="00161ED0" w:rsidRDefault="00161ED0">
      <w:pPr>
        <w:pBdr>
          <w:top w:val="nil"/>
          <w:left w:val="nil"/>
          <w:bottom w:val="nil"/>
          <w:right w:val="nil"/>
          <w:between w:val="nil"/>
        </w:pBdr>
        <w:jc w:val="both"/>
      </w:pPr>
    </w:p>
    <w:p w14:paraId="1B2CB5B0" w14:textId="1FCF1FAE" w:rsidR="00161ED0" w:rsidRDefault="00161ED0">
      <w:pPr>
        <w:pBdr>
          <w:top w:val="nil"/>
          <w:left w:val="nil"/>
          <w:bottom w:val="nil"/>
          <w:right w:val="nil"/>
          <w:between w:val="nil"/>
        </w:pBdr>
        <w:jc w:val="both"/>
      </w:pPr>
    </w:p>
    <w:p w14:paraId="06BDA8F5" w14:textId="6AEBA2D7" w:rsidR="00161ED0" w:rsidRDefault="00161ED0">
      <w:pPr>
        <w:pBdr>
          <w:top w:val="nil"/>
          <w:left w:val="nil"/>
          <w:bottom w:val="nil"/>
          <w:right w:val="nil"/>
          <w:between w:val="nil"/>
        </w:pBdr>
        <w:jc w:val="both"/>
      </w:pPr>
    </w:p>
    <w:p w14:paraId="32FF322A" w14:textId="463EBA24" w:rsidR="00161ED0" w:rsidRDefault="00AE5758" w:rsidP="00AE5758">
      <w:pPr>
        <w:pStyle w:val="Ttulo2"/>
        <w:jc w:val="center"/>
      </w:pPr>
      <w:bookmarkStart w:id="11" w:name="_Toc23443961"/>
      <w:r w:rsidRPr="002022F1">
        <w:lastRenderedPageBreak/>
        <w:t>Gráfica 7</w:t>
      </w:r>
      <w:r w:rsidR="00161ED0" w:rsidRPr="002022F1">
        <w:t>. Proporción de la población Ocupada Informal (junio-agosto 2019).</w:t>
      </w:r>
      <w:bookmarkEnd w:id="11"/>
    </w:p>
    <w:p w14:paraId="454C37AC" w14:textId="42B7C47B" w:rsidR="0035170B" w:rsidRDefault="0035170B" w:rsidP="00412AC6">
      <w:pPr>
        <w:pBdr>
          <w:top w:val="nil"/>
          <w:left w:val="nil"/>
          <w:bottom w:val="nil"/>
          <w:right w:val="nil"/>
          <w:between w:val="nil"/>
        </w:pBdr>
        <w:jc w:val="center"/>
      </w:pPr>
      <w:r>
        <w:rPr>
          <w:noProof/>
        </w:rPr>
        <w:drawing>
          <wp:inline distT="0" distB="0" distL="0" distR="0" wp14:anchorId="30D280BE" wp14:editId="76299DAC">
            <wp:extent cx="5374319" cy="25622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2577" cy="2604302"/>
                    </a:xfrm>
                    <a:prstGeom prst="rect">
                      <a:avLst/>
                    </a:prstGeom>
                    <a:noFill/>
                    <a:ln>
                      <a:noFill/>
                    </a:ln>
                  </pic:spPr>
                </pic:pic>
              </a:graphicData>
            </a:graphic>
          </wp:inline>
        </w:drawing>
      </w:r>
    </w:p>
    <w:p w14:paraId="3E8E0A1D" w14:textId="05949084" w:rsidR="0035170B" w:rsidRPr="002022F1" w:rsidRDefault="00161ED0" w:rsidP="002022F1">
      <w:pPr>
        <w:pBdr>
          <w:top w:val="nil"/>
          <w:left w:val="nil"/>
          <w:bottom w:val="nil"/>
          <w:right w:val="nil"/>
          <w:between w:val="nil"/>
        </w:pBdr>
        <w:ind w:left="1440"/>
        <w:jc w:val="center"/>
        <w:rPr>
          <w:sz w:val="20"/>
          <w:szCs w:val="20"/>
        </w:rPr>
      </w:pPr>
      <w:r w:rsidRPr="002022F1">
        <w:rPr>
          <w:b/>
          <w:i/>
          <w:sz w:val="20"/>
          <w:szCs w:val="20"/>
        </w:rPr>
        <w:t xml:space="preserve">Fuente: </w:t>
      </w:r>
      <w:r w:rsidRPr="002022F1">
        <w:rPr>
          <w:i/>
          <w:sz w:val="20"/>
          <w:szCs w:val="20"/>
        </w:rPr>
        <w:t>DANE-GEIH. Elaboración ODEB.</w:t>
      </w:r>
      <w:r w:rsidR="00E9084B" w:rsidRPr="002022F1">
        <w:rPr>
          <w:i/>
          <w:sz w:val="20"/>
          <w:szCs w:val="20"/>
        </w:rPr>
        <w:t xml:space="preserve"> </w:t>
      </w:r>
      <w:sdt>
        <w:sdtPr>
          <w:rPr>
            <w:i/>
            <w:sz w:val="20"/>
            <w:szCs w:val="20"/>
          </w:rPr>
          <w:id w:val="-1351791809"/>
          <w:citation/>
        </w:sdtPr>
        <w:sdtEndPr/>
        <w:sdtContent>
          <w:r w:rsidR="00E9084B" w:rsidRPr="002022F1">
            <w:rPr>
              <w:i/>
              <w:sz w:val="20"/>
              <w:szCs w:val="20"/>
            </w:rPr>
            <w:fldChar w:fldCharType="begin"/>
          </w:r>
          <w:r w:rsidR="00AB3CD5" w:rsidRPr="002022F1">
            <w:rPr>
              <w:i/>
              <w:sz w:val="20"/>
              <w:szCs w:val="20"/>
            </w:rPr>
            <w:instrText xml:space="preserve">CITATION Med19 \l 9226 </w:instrText>
          </w:r>
          <w:r w:rsidR="00E9084B" w:rsidRPr="002022F1">
            <w:rPr>
              <w:i/>
              <w:sz w:val="20"/>
              <w:szCs w:val="20"/>
            </w:rPr>
            <w:fldChar w:fldCharType="separate"/>
          </w:r>
          <w:r w:rsidR="00AB3CD5" w:rsidRPr="002022F1">
            <w:rPr>
              <w:noProof/>
              <w:sz w:val="20"/>
              <w:szCs w:val="20"/>
            </w:rPr>
            <w:t>(DANE, 2019)</w:t>
          </w:r>
          <w:r w:rsidR="00E9084B" w:rsidRPr="002022F1">
            <w:rPr>
              <w:i/>
              <w:sz w:val="20"/>
              <w:szCs w:val="20"/>
            </w:rPr>
            <w:fldChar w:fldCharType="end"/>
          </w:r>
        </w:sdtContent>
      </w:sdt>
      <w:r w:rsidR="00AB3CD5" w:rsidRPr="002022F1">
        <w:rPr>
          <w:i/>
          <w:sz w:val="20"/>
          <w:szCs w:val="20"/>
        </w:rPr>
        <w:t xml:space="preserve">. Medición de empleo informal y seguridad social Trimestre móvil junio - agosto 2019. DANE, Bogotá: Boletín Técnico Gran Encuesta Integrada de Hogares. </w:t>
      </w:r>
      <w:r w:rsidR="002022F1" w:rsidRPr="002022F1">
        <w:rPr>
          <w:sz w:val="20"/>
          <w:szCs w:val="20"/>
        </w:rPr>
        <w:t xml:space="preserve">Recuperado de: </w:t>
      </w:r>
      <w:r w:rsidR="00AB3CD5" w:rsidRPr="002022F1">
        <w:rPr>
          <w:sz w:val="20"/>
          <w:szCs w:val="20"/>
        </w:rPr>
        <w:t>https://www.dane.gov.co/files/investigaciones/boletines/ech/ech_informalidad/bol_ech_informalidad_jun19_ago19.pdf</w:t>
      </w:r>
    </w:p>
    <w:p w14:paraId="0C0658F6" w14:textId="7BD7D5D0" w:rsidR="000A7CAF" w:rsidRDefault="006602E4" w:rsidP="000406B4">
      <w:pPr>
        <w:pBdr>
          <w:top w:val="nil"/>
          <w:left w:val="nil"/>
          <w:bottom w:val="nil"/>
          <w:right w:val="nil"/>
          <w:between w:val="nil"/>
        </w:pBdr>
        <w:jc w:val="both"/>
      </w:pPr>
      <w:r>
        <w:t xml:space="preserve">El desempleo y la informalidad se convierten así en una de las problemáticas </w:t>
      </w:r>
      <w:r w:rsidR="002022F1">
        <w:t>que,</w:t>
      </w:r>
      <w:r>
        <w:t xml:space="preserve"> a pesar de haber mostrado avances y tendencias positivas durante el último cuatrienio, siguen considerándose </w:t>
      </w:r>
      <w:r w:rsidR="000F56F4">
        <w:t>como retos</w:t>
      </w:r>
      <w:r w:rsidR="003310A5">
        <w:t xml:space="preserve"> permanentes</w:t>
      </w:r>
      <w:r>
        <w:t xml:space="preserve"> no </w:t>
      </w:r>
      <w:r w:rsidR="00CA0C3F">
        <w:t xml:space="preserve">solo de la ciudad sino del país, sobre todo entendiendo que las causas </w:t>
      </w:r>
      <w:r w:rsidR="000F56F4">
        <w:t>más</w:t>
      </w:r>
      <w:r w:rsidR="00CA0C3F">
        <w:t xml:space="preserve"> directas de ellos dependen de factores nacionales.</w:t>
      </w:r>
    </w:p>
    <w:p w14:paraId="0E57E2F2" w14:textId="6EC8F6A1" w:rsidR="000A7CAF" w:rsidRDefault="006602E4" w:rsidP="00F01F22">
      <w:pPr>
        <w:jc w:val="both"/>
      </w:pPr>
      <w:r>
        <w:t>A nivel urbano, las ventas ambulantes hacen parte importante de las múltiples actividades económicas que se desarrollan en el ámbito de la informalidad; así mismo es la de mayor visibilidad, dado que se desarrolla en el espacio público de la ciudad. Actualmente, no existe una uniformidad de las estadísticas sobre vendedores informales, que ejercen actividades económicas en el espacio público. De cada una de las ciudades colombianas, solo se encuentran ejercicios de conteo realizados por las alcaldías</w:t>
      </w:r>
      <w:r w:rsidR="00CA0C3F">
        <w:t xml:space="preserve"> </w:t>
      </w:r>
      <w:r>
        <w:t>y la policía, entre otros, que dan una aproximación al fenómeno de las ventas informales en el espacio público.</w:t>
      </w:r>
      <w:r w:rsidR="00F01F22">
        <w:t xml:space="preserve"> </w:t>
      </w:r>
    </w:p>
    <w:p w14:paraId="5CAA20D3" w14:textId="2F6997AA" w:rsidR="000A7CAF" w:rsidRDefault="006602E4">
      <w:pPr>
        <w:jc w:val="both"/>
      </w:pPr>
      <w:r>
        <w:t>En el periodo 2016-</w:t>
      </w:r>
      <w:r w:rsidR="00705B98">
        <w:t>2019 el</w:t>
      </w:r>
      <w:r>
        <w:t xml:space="preserve"> Instituto para la Economía Social (IPES), dispone de 32.139 registros administrativos para el periodo mencionado, estas cifras no significan, valga aclarar, el número de vendedores informales existentes en la ciudad sino la población que ha sido encuestada por el IPES en las veinte localidades del distrito para los estudios de perfilamiento. </w:t>
      </w:r>
    </w:p>
    <w:p w14:paraId="2A369AD5" w14:textId="672D7017" w:rsidR="000A7CAF" w:rsidRDefault="006602E4">
      <w:pPr>
        <w:jc w:val="both"/>
      </w:pPr>
      <w:r>
        <w:t>Ahora</w:t>
      </w:r>
      <w:r w:rsidR="00F01F22">
        <w:t xml:space="preserve"> bien</w:t>
      </w:r>
      <w:r>
        <w:t xml:space="preserve">, respecto a </w:t>
      </w:r>
      <w:r w:rsidR="00F01F22">
        <w:t>aquellos vendedores</w:t>
      </w:r>
      <w:r>
        <w:t xml:space="preserve"> ubicados en plazas de mercado, en el cuatrienio se pasó de una ocupación en las plazas distritales de mercado </w:t>
      </w:r>
      <w:r w:rsidR="00F01F22">
        <w:t xml:space="preserve">de 67% en </w:t>
      </w:r>
      <w:r>
        <w:t xml:space="preserve">diciembre de 2015 </w:t>
      </w:r>
      <w:r w:rsidR="00F01F22">
        <w:t>a 73% en diciembre del 2018, según cálculos del IPES. Ello</w:t>
      </w:r>
      <w:r>
        <w:t xml:space="preserve"> gracias al mejoramiento de la infraestructura en las </w:t>
      </w:r>
      <w:r>
        <w:lastRenderedPageBreak/>
        <w:t xml:space="preserve">plazas de mercado (reparaciones, adecuaciones e interventorías), </w:t>
      </w:r>
      <w:r w:rsidR="00F01F22">
        <w:t>y</w:t>
      </w:r>
      <w:r>
        <w:t xml:space="preserve"> una redistribución de la capacidad instalada a nivel </w:t>
      </w:r>
      <w:r w:rsidR="00F01F22">
        <w:t xml:space="preserve">de </w:t>
      </w:r>
      <w:r>
        <w:t xml:space="preserve">puestos en cada una de </w:t>
      </w:r>
      <w:r w:rsidR="00F01F22">
        <w:t>las plazas.</w:t>
      </w:r>
    </w:p>
    <w:p w14:paraId="0BDE9CC6" w14:textId="133B3F69" w:rsidR="000A7CAF" w:rsidRDefault="006602E4">
      <w:pPr>
        <w:jc w:val="both"/>
        <w:rPr>
          <w:color w:val="FF0000"/>
        </w:rPr>
      </w:pPr>
      <w:r>
        <w:rPr>
          <w:color w:val="000000"/>
        </w:rPr>
        <w:t xml:space="preserve">Adicionalmente, durante el primer semestre de 2016, en el ejercicio cotidiano de administrar las plazas, se identificaron factores críticos que permitieron concluir que no existía una relación armónica entre la institucionalidad y los comerciantes, pues estos argumentaban no sentirse identificados con la manera cómo se habían estado manejando estos espacios, sumado al hecho de que las estructuras de las plazas se encontraban deterioradas, sucias y desordenadas y con concepto desfavorable por parte de los entes que ejercen el control sanitario y ambiental. </w:t>
      </w:r>
    </w:p>
    <w:p w14:paraId="0329B826" w14:textId="728A47EB" w:rsidR="00AE5758" w:rsidRDefault="006602E4" w:rsidP="009337AB">
      <w:pPr>
        <w:spacing w:line="240" w:lineRule="auto"/>
        <w:jc w:val="both"/>
        <w:rPr>
          <w:color w:val="000000"/>
        </w:rPr>
      </w:pPr>
      <w:r>
        <w:rPr>
          <w:color w:val="000000"/>
        </w:rPr>
        <w:t>En tanto, de las 64 plazas de mercado existentes en la ciudad de Bogotá, 45 cuentan con administraciones comunitarias, 19 son públicas de propiedad del Distrito Capital y están a cargo del IPES. En su conjunto estas 19 plazas distritales de mercado se encuentran ubicadas en 12 de las 20 localidades de Bogotá, como se muestra a continuación.</w:t>
      </w:r>
    </w:p>
    <w:p w14:paraId="3578C0F7" w14:textId="27413CC3" w:rsidR="009337AB" w:rsidRPr="00AE5758" w:rsidRDefault="002022F1" w:rsidP="00AE5758">
      <w:pPr>
        <w:pStyle w:val="Ttulo2"/>
        <w:jc w:val="center"/>
      </w:pPr>
      <w:bookmarkStart w:id="12" w:name="_Toc23443962"/>
      <w:r>
        <w:t>Grá</w:t>
      </w:r>
      <w:r w:rsidR="00AE5758" w:rsidRPr="002022F1">
        <w:t>fica 8. Plazas de Mercado distritales.</w:t>
      </w:r>
      <w:bookmarkEnd w:id="12"/>
    </w:p>
    <w:p w14:paraId="542671E0" w14:textId="77777777" w:rsidR="000A7CAF" w:rsidRDefault="006602E4" w:rsidP="009337AB">
      <w:pPr>
        <w:spacing w:line="240" w:lineRule="auto"/>
        <w:jc w:val="center"/>
        <w:rPr>
          <w:b/>
        </w:rPr>
      </w:pPr>
      <w:r>
        <w:rPr>
          <w:noProof/>
        </w:rPr>
        <w:drawing>
          <wp:inline distT="0" distB="0" distL="0" distR="0" wp14:anchorId="73589184" wp14:editId="7B5737A5">
            <wp:extent cx="4790364" cy="2729552"/>
            <wp:effectExtent l="0" t="0" r="0" b="0"/>
            <wp:docPr id="59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l="27008" t="26888" r="30016" b="17523"/>
                    <a:stretch>
                      <a:fillRect/>
                    </a:stretch>
                  </pic:blipFill>
                  <pic:spPr>
                    <a:xfrm>
                      <a:off x="0" y="0"/>
                      <a:ext cx="4800865" cy="2735536"/>
                    </a:xfrm>
                    <a:prstGeom prst="rect">
                      <a:avLst/>
                    </a:prstGeom>
                    <a:ln/>
                  </pic:spPr>
                </pic:pic>
              </a:graphicData>
            </a:graphic>
          </wp:inline>
        </w:drawing>
      </w:r>
    </w:p>
    <w:p w14:paraId="61EB7630" w14:textId="77777777" w:rsidR="000A7CAF" w:rsidRDefault="006602E4" w:rsidP="0003254B">
      <w:pPr>
        <w:spacing w:line="240" w:lineRule="auto"/>
        <w:ind w:left="708"/>
        <w:jc w:val="center"/>
        <w:rPr>
          <w:b/>
          <w:i/>
        </w:rPr>
      </w:pPr>
      <w:r>
        <w:rPr>
          <w:b/>
          <w:i/>
        </w:rPr>
        <w:t xml:space="preserve">Fuente: </w:t>
      </w:r>
      <w:r>
        <w:rPr>
          <w:i/>
        </w:rPr>
        <w:t xml:space="preserve">Gómez, J. E. (2019). Las plazas distritales de mercado en Bogotá: una mirada de la inseguridad alimentaria y el consumo de alimentos en la localidad de Barrios Unidos. </w:t>
      </w:r>
      <w:r w:rsidRPr="002022F1">
        <w:t>Revista CIFE: Lecturas de Economía Social, 20(32), Pág. 142</w:t>
      </w:r>
      <w:r w:rsidRPr="002022F1">
        <w:rPr>
          <w:b/>
        </w:rPr>
        <w:t>.</w:t>
      </w:r>
    </w:p>
    <w:p w14:paraId="6658DDA3" w14:textId="22C9B531" w:rsidR="000A7CAF" w:rsidRDefault="00E000BE">
      <w:pPr>
        <w:jc w:val="both"/>
      </w:pPr>
      <w:r>
        <w:t>A nivel rural</w:t>
      </w:r>
      <w:r w:rsidR="006602E4">
        <w:t>, se reconoce</w:t>
      </w:r>
      <w:r>
        <w:t xml:space="preserve"> un desafío </w:t>
      </w:r>
      <w:r w:rsidR="006602E4">
        <w:t>asociad</w:t>
      </w:r>
      <w:r>
        <w:t>o</w:t>
      </w:r>
      <w:r w:rsidR="006602E4">
        <w:t xml:space="preserve"> a procesos de innovación rural</w:t>
      </w:r>
      <w:r>
        <w:t>, que se ha buscado atender desde la SDDE con acompañamiento técnico en la reconversión productiva.</w:t>
      </w:r>
      <w:r w:rsidR="00F01F22">
        <w:t xml:space="preserve"> </w:t>
      </w:r>
      <w:r w:rsidR="006602E4">
        <w:t>De las 20 localidades de la ciudad se destacan Ciudad Bolívar, Usme, Suba, Santafé, Chapinero y Sumapaz como aquellas que cuentan con área rural, siendo la última mencionada la que cuenta con la ruralidad más extensa, ya que constituye más del 64% del área rural total, donde además se conectan los ecosistemas de bosque alto andino, áreas de páramo y las zonas de páramo no declaradas.</w:t>
      </w:r>
    </w:p>
    <w:p w14:paraId="2F38CE4D" w14:textId="747C1916" w:rsidR="00AA34CD" w:rsidRDefault="00AA34CD" w:rsidP="00AA34CD">
      <w:pPr>
        <w:jc w:val="both"/>
      </w:pPr>
      <w:r>
        <w:lastRenderedPageBreak/>
        <w:t>Así mismo, otro de los retos en la ruralidad, se asocia a los canales convencionales de comercialización de los productos del campo que con sus márgenes de intermediación comercial afectan los ingresos de los productores y algunas veces h</w:t>
      </w:r>
      <w:r w:rsidR="00C277C6">
        <w:t xml:space="preserve">asta con pagos que se realizan dos o tres </w:t>
      </w:r>
      <w:r>
        <w:t xml:space="preserve"> meses después. Ello lo hemos venido atendiendo desde la SDDE a través de mercados campesinos itinerantes y ruedas de negocio con actores de la hotelería y restaurantes que encuentran proveedores directos que satisfacen sus necesidades sin intermediación. </w:t>
      </w:r>
    </w:p>
    <w:p w14:paraId="4A497E9E" w14:textId="1C96C22B" w:rsidR="000A7CAF" w:rsidRDefault="00AA34CD">
      <w:pPr>
        <w:spacing w:after="0"/>
        <w:jc w:val="both"/>
      </w:pPr>
      <w:r>
        <w:t>Por otra parte, e</w:t>
      </w:r>
      <w:r w:rsidR="0010058E">
        <w:t>n la capital</w:t>
      </w:r>
      <w:r w:rsidR="006602E4" w:rsidRPr="0010058E">
        <w:t xml:space="preserve"> </w:t>
      </w:r>
      <w:r w:rsidR="000E0828" w:rsidRPr="0010058E">
        <w:t xml:space="preserve">también </w:t>
      </w:r>
      <w:r w:rsidR="006602E4" w:rsidRPr="0010058E">
        <w:t>existe</w:t>
      </w:r>
      <w:r w:rsidR="000E0828" w:rsidRPr="0010058E">
        <w:t>n desafíos sobre el cómo facilitar el acceso</w:t>
      </w:r>
      <w:r w:rsidR="006602E4" w:rsidRPr="0010058E">
        <w:t xml:space="preserve"> a un trabajo digno y de calidad para algunos grupos poblacionales</w:t>
      </w:r>
      <w:r w:rsidR="000E0828" w:rsidRPr="0010058E">
        <w:t xml:space="preserve"> como es el caso de la población con discapacidad. </w:t>
      </w:r>
      <w:r w:rsidR="006602E4">
        <w:t>Respecto a las políticas en materia de discapacidad,</w:t>
      </w:r>
      <w:r w:rsidR="000E0828">
        <w:t xml:space="preserve"> la SDDE a través de su ruta de empleo diferencial para poblaciones</w:t>
      </w:r>
      <w:r w:rsidR="000F56F4">
        <w:t xml:space="preserve"> y a través de la Agencia Pública del Distrito que manejamos en la SDDE,</w:t>
      </w:r>
      <w:r w:rsidR="0010058E">
        <w:t xml:space="preserve"> </w:t>
      </w:r>
      <w:r w:rsidR="00E34100">
        <w:t xml:space="preserve">a septiembre de </w:t>
      </w:r>
      <w:r w:rsidR="00E34100" w:rsidRPr="00E34100">
        <w:t xml:space="preserve">2019, </w:t>
      </w:r>
      <w:r w:rsidR="000F56F4" w:rsidRPr="00E34100">
        <w:t>logramos</w:t>
      </w:r>
      <w:r w:rsidR="006602E4" w:rsidRPr="00E34100">
        <w:t xml:space="preserve"> que </w:t>
      </w:r>
      <w:r w:rsidR="00E34100" w:rsidRPr="00E34100">
        <w:t>141</w:t>
      </w:r>
      <w:r w:rsidR="006602E4" w:rsidRPr="00E34100">
        <w:t xml:space="preserve"> personas pertenecientes</w:t>
      </w:r>
      <w:r w:rsidR="006602E4">
        <w:t xml:space="preserve"> a la población </w:t>
      </w:r>
      <w:r w:rsidR="00E34100">
        <w:t>con</w:t>
      </w:r>
      <w:r w:rsidR="006602E4">
        <w:t xml:space="preserve"> discapacidad </w:t>
      </w:r>
      <w:r w:rsidR="00E34100">
        <w:t>se vincularan en distintas entidades públicas y privadas</w:t>
      </w:r>
      <w:r w:rsidR="006602E4">
        <w:t>, avanzando hacia una cultura de empresarios que respondieron favorablemente</w:t>
      </w:r>
      <w:r w:rsidR="00E34100">
        <w:t xml:space="preserve"> a estos procesos de inclusión</w:t>
      </w:r>
      <w:r w:rsidR="000E0828">
        <w:t xml:space="preserve">, </w:t>
      </w:r>
      <w:r w:rsidR="00E34100">
        <w:t xml:space="preserve">y que </w:t>
      </w:r>
      <w:r w:rsidR="000E0828">
        <w:t xml:space="preserve">además </w:t>
      </w:r>
      <w:r w:rsidR="00E34100">
        <w:t>hemos</w:t>
      </w:r>
      <w:r w:rsidR="000E0828">
        <w:t xml:space="preserve"> reconocido y exaltado por parte de la secretaria, por sus</w:t>
      </w:r>
      <w:r w:rsidR="006602E4">
        <w:t xml:space="preserve"> procesos de inclusión de personas con discapacidad en el marco de la responsabilidad social, modificando imaginarios</w:t>
      </w:r>
      <w:r w:rsidR="00E34100">
        <w:t xml:space="preserve"> en el sector privado</w:t>
      </w:r>
      <w:r w:rsidR="000E0828">
        <w:t>.</w:t>
      </w:r>
    </w:p>
    <w:p w14:paraId="05E0AC9B" w14:textId="77777777" w:rsidR="000F56F4" w:rsidRDefault="000F56F4">
      <w:pPr>
        <w:spacing w:after="0"/>
        <w:jc w:val="both"/>
      </w:pPr>
    </w:p>
    <w:p w14:paraId="05476D90" w14:textId="76CC935C" w:rsidR="000A7CAF" w:rsidRDefault="006602E4">
      <w:pPr>
        <w:spacing w:after="0"/>
        <w:jc w:val="both"/>
      </w:pPr>
      <w:r>
        <w:t>Sin em</w:t>
      </w:r>
      <w:r w:rsidR="0010058E">
        <w:t>bargo, es necesario redoblar</w:t>
      </w:r>
      <w:r>
        <w:t xml:space="preserve"> esfuerzos para alcanzar mayores coberturas a través del diseño de programas productivos acordes a las características, intereses</w:t>
      </w:r>
      <w:r w:rsidR="000F56F4">
        <w:t>,</w:t>
      </w:r>
      <w:r>
        <w:t xml:space="preserve"> capacidades y necesidades de </w:t>
      </w:r>
      <w:r w:rsidR="000F56F4">
        <w:t>distintos grupos poblaciones, como se abordó por parte de la SDDE a través de rutas diferenciales de empleo</w:t>
      </w:r>
      <w:r>
        <w:t xml:space="preserve">. </w:t>
      </w:r>
    </w:p>
    <w:p w14:paraId="32CF2FB9" w14:textId="30C9DC6E" w:rsidR="0010058E" w:rsidRDefault="00E34100" w:rsidP="0003254B">
      <w:pPr>
        <w:spacing w:before="240" w:after="0"/>
        <w:jc w:val="both"/>
      </w:pPr>
      <w:r>
        <w:t>Es</w:t>
      </w:r>
      <w:r w:rsidR="00714406">
        <w:t xml:space="preserve"> fundamental para el desarrollo económico de la ciudad continuar con las políticas propiciadas para diversificar el aparato productivo y generar bienes y servicios con mayor valor agregado, además de capacitar su mano de obra para los retos y tendencias económicas a nivel global, donde la economía naranja, la innovación y los avances tecnológicos son cruciales para la competitividad, crecimiento y desarrollo de una ciudad como Bogotá. </w:t>
      </w:r>
    </w:p>
    <w:p w14:paraId="2042F0D3" w14:textId="2CC45AEC" w:rsidR="000A7CAF" w:rsidRDefault="006602E4" w:rsidP="008232B3">
      <w:pPr>
        <w:pStyle w:val="Ttulo2"/>
        <w:rPr>
          <w:rFonts w:ascii="Arial" w:eastAsia="Arial" w:hAnsi="Arial" w:cs="Arial"/>
          <w:sz w:val="24"/>
          <w:szCs w:val="24"/>
        </w:rPr>
      </w:pPr>
      <w:bookmarkStart w:id="13" w:name="_Toc23443963"/>
      <w:r>
        <w:t>1.2 Barreras de Acceso al Financiamiento</w:t>
      </w:r>
      <w:bookmarkEnd w:id="13"/>
    </w:p>
    <w:p w14:paraId="58132293" w14:textId="1F26A7F4" w:rsidR="000A7CAF" w:rsidRDefault="008E0388">
      <w:pPr>
        <w:spacing w:before="240" w:after="240"/>
        <w:jc w:val="both"/>
      </w:pPr>
      <w:r w:rsidDel="008E0388">
        <w:t xml:space="preserve"> </w:t>
      </w:r>
      <w:r w:rsidR="006602E4">
        <w:t>Según el “Reporte de la Situación Actual del Microcrédito en Colombia” del Banco de la República</w:t>
      </w:r>
      <w:r w:rsidR="006602E4">
        <w:rPr>
          <w:vertAlign w:val="superscript"/>
        </w:rPr>
        <w:footnoteReference w:id="3"/>
      </w:r>
      <w:r w:rsidR="006602E4">
        <w:t>, durante el primer trimestre de 2019 la percepción de la demanda por nuevos microcréditos se mantuvo estable, ubicándose levemente por debajo del promedio del último año, tanto para el mercado de microcrédito en su conjunto, como para las entidades reguladas en particular</w:t>
      </w:r>
      <w:r w:rsidR="0010058E">
        <w:t>.</w:t>
      </w:r>
    </w:p>
    <w:p w14:paraId="127F4451" w14:textId="0C64BD43" w:rsidR="00D702F5" w:rsidRDefault="00D702F5" w:rsidP="00D702F5">
      <w:pPr>
        <w:spacing w:before="240" w:after="240"/>
        <w:jc w:val="both"/>
      </w:pPr>
      <w:r>
        <w:t xml:space="preserve">En cuanto a los factores que impiden otorgar un mayor volumen de microcrédito, los intermediarios manifestaron que la razón principal es la capacidad de pago (30,2%). En segundo lugar, se </w:t>
      </w:r>
      <w:r w:rsidR="00B03B0E">
        <w:t xml:space="preserve">encuentra </w:t>
      </w:r>
      <w:r>
        <w:lastRenderedPageBreak/>
        <w:t>el sobreendeudamiento de los clientes (23,9%), y en tercer lugar las deudas con más de tres entidades (18,3%). Este último fue el factor que más ganó participación desde la pasada versión de la encuesta. Por otro lado, el historial crediticio fue el factor que más perdió participación. Así mismo, durante el cuarto trimestre de 2018, el 23,8% de los intermediarios expresaron que un mayor crecimiento de la economía es el aspecto que más impulsa un incremento del microcrédito, seguido de menores tasas de fondeo (14,9%), y mayor información sobre la capacidad de pago de los prestatarios, como se aprecia en los siguientes gráficos.</w:t>
      </w:r>
    </w:p>
    <w:p w14:paraId="40EF070E" w14:textId="7BD12BD3" w:rsidR="00C277C6" w:rsidRDefault="00AE5758" w:rsidP="0003254B">
      <w:pPr>
        <w:pStyle w:val="Ttulo2"/>
        <w:jc w:val="center"/>
      </w:pPr>
      <w:bookmarkStart w:id="14" w:name="_Toc23443964"/>
      <w:r w:rsidRPr="002022F1">
        <w:t>Gráfica 9</w:t>
      </w:r>
      <w:r w:rsidR="00C277C6" w:rsidRPr="002022F1">
        <w:t>. Factores que impiden otorgar un mayor volumen de microcrédito.</w:t>
      </w:r>
      <w:bookmarkEnd w:id="14"/>
    </w:p>
    <w:p w14:paraId="4D49BD07" w14:textId="5EE71078" w:rsidR="000A7CAF" w:rsidRDefault="006602E4">
      <w:pPr>
        <w:spacing w:before="240" w:after="240"/>
        <w:jc w:val="center"/>
        <w:rPr>
          <w:rFonts w:ascii="Arial" w:eastAsia="Arial" w:hAnsi="Arial" w:cs="Arial"/>
          <w:sz w:val="24"/>
          <w:szCs w:val="24"/>
          <w:highlight w:val="white"/>
        </w:rPr>
      </w:pPr>
      <w:r>
        <w:rPr>
          <w:rFonts w:ascii="Arial" w:eastAsia="Arial" w:hAnsi="Arial" w:cs="Arial"/>
          <w:noProof/>
          <w:sz w:val="24"/>
          <w:szCs w:val="24"/>
          <w:highlight w:val="white"/>
        </w:rPr>
        <w:drawing>
          <wp:inline distT="114300" distB="114300" distL="114300" distR="114300" wp14:anchorId="3E5D7CB0" wp14:editId="4BF9B7F1">
            <wp:extent cx="4257675" cy="4381500"/>
            <wp:effectExtent l="0" t="0" r="9525" b="0"/>
            <wp:docPr id="5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0"/>
                    <a:srcRect t="11539"/>
                    <a:stretch/>
                  </pic:blipFill>
                  <pic:spPr bwMode="auto">
                    <a:xfrm>
                      <a:off x="0" y="0"/>
                      <a:ext cx="4257675" cy="4381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0E58199" w14:textId="181624C0" w:rsidR="000A7CAF" w:rsidRDefault="006602E4" w:rsidP="0003254B">
      <w:pPr>
        <w:spacing w:after="160"/>
        <w:ind w:left="860" w:right="860"/>
        <w:jc w:val="center"/>
        <w:rPr>
          <w:rFonts w:asciiTheme="minorHAnsi" w:eastAsia="Arial" w:hAnsiTheme="minorHAnsi" w:cs="Arial"/>
          <w:i/>
          <w:sz w:val="20"/>
          <w:szCs w:val="20"/>
          <w:highlight w:val="white"/>
        </w:rPr>
      </w:pPr>
      <w:r w:rsidRPr="00C277C6">
        <w:rPr>
          <w:rFonts w:asciiTheme="minorHAnsi" w:eastAsia="Arial" w:hAnsiTheme="minorHAnsi" w:cs="Arial"/>
          <w:b/>
          <w:sz w:val="20"/>
          <w:szCs w:val="20"/>
          <w:highlight w:val="white"/>
        </w:rPr>
        <w:t>Fuente:</w:t>
      </w:r>
      <w:r w:rsidRPr="00C277C6">
        <w:rPr>
          <w:rFonts w:asciiTheme="minorHAnsi" w:eastAsia="Arial" w:hAnsiTheme="minorHAnsi" w:cs="Arial"/>
          <w:sz w:val="20"/>
          <w:szCs w:val="20"/>
          <w:highlight w:val="white"/>
        </w:rPr>
        <w:t xml:space="preserve"> </w:t>
      </w:r>
      <w:r w:rsidRPr="00C277C6">
        <w:rPr>
          <w:rFonts w:asciiTheme="minorHAnsi" w:eastAsia="Arial" w:hAnsiTheme="minorHAnsi" w:cs="Arial"/>
          <w:i/>
          <w:sz w:val="20"/>
          <w:szCs w:val="20"/>
          <w:highlight w:val="white"/>
        </w:rPr>
        <w:t xml:space="preserve">Reporte de la Situación Actual del Microcrédito en Colombia”; Banco de la República; </w:t>
      </w:r>
      <w:r w:rsidR="00705B98" w:rsidRPr="00C277C6">
        <w:rPr>
          <w:rFonts w:asciiTheme="minorHAnsi" w:eastAsia="Arial" w:hAnsiTheme="minorHAnsi" w:cs="Arial"/>
          <w:i/>
          <w:sz w:val="20"/>
          <w:szCs w:val="20"/>
          <w:highlight w:val="white"/>
        </w:rPr>
        <w:t>septiembre</w:t>
      </w:r>
      <w:r w:rsidRPr="00C277C6">
        <w:rPr>
          <w:rFonts w:asciiTheme="minorHAnsi" w:eastAsia="Arial" w:hAnsiTheme="minorHAnsi" w:cs="Arial"/>
          <w:i/>
          <w:sz w:val="20"/>
          <w:szCs w:val="20"/>
          <w:highlight w:val="white"/>
        </w:rPr>
        <w:t xml:space="preserve"> de 2019.</w:t>
      </w:r>
    </w:p>
    <w:p w14:paraId="248C90AD" w14:textId="735B29CB" w:rsidR="00C277C6" w:rsidRDefault="00C277C6" w:rsidP="0003254B">
      <w:pPr>
        <w:spacing w:after="160"/>
        <w:ind w:left="860" w:right="860"/>
        <w:jc w:val="center"/>
        <w:rPr>
          <w:rFonts w:asciiTheme="minorHAnsi" w:eastAsia="Arial" w:hAnsiTheme="minorHAnsi" w:cs="Arial"/>
          <w:i/>
          <w:sz w:val="20"/>
          <w:szCs w:val="20"/>
          <w:highlight w:val="white"/>
        </w:rPr>
      </w:pPr>
    </w:p>
    <w:p w14:paraId="0B5F3886" w14:textId="3CA5BC26" w:rsidR="00C277C6" w:rsidRDefault="00C277C6" w:rsidP="0003254B">
      <w:pPr>
        <w:spacing w:after="160"/>
        <w:ind w:left="860" w:right="860"/>
        <w:jc w:val="center"/>
        <w:rPr>
          <w:rFonts w:asciiTheme="minorHAnsi" w:eastAsia="Arial" w:hAnsiTheme="minorHAnsi" w:cs="Arial"/>
          <w:i/>
          <w:sz w:val="20"/>
          <w:szCs w:val="20"/>
          <w:highlight w:val="white"/>
        </w:rPr>
      </w:pPr>
    </w:p>
    <w:p w14:paraId="6F77E093" w14:textId="77777777" w:rsidR="00AE5758" w:rsidRDefault="00AE5758" w:rsidP="0003254B">
      <w:pPr>
        <w:spacing w:after="160"/>
        <w:ind w:left="860" w:right="860"/>
        <w:jc w:val="center"/>
        <w:rPr>
          <w:rFonts w:asciiTheme="minorHAnsi" w:eastAsia="Arial" w:hAnsiTheme="minorHAnsi" w:cs="Arial"/>
          <w:i/>
          <w:sz w:val="20"/>
          <w:szCs w:val="20"/>
          <w:highlight w:val="white"/>
        </w:rPr>
      </w:pPr>
    </w:p>
    <w:p w14:paraId="05BD4271" w14:textId="77777777" w:rsidR="00AE5758" w:rsidRDefault="00AE5758" w:rsidP="0003254B">
      <w:pPr>
        <w:spacing w:after="160"/>
        <w:ind w:left="860" w:right="860"/>
        <w:jc w:val="center"/>
        <w:rPr>
          <w:rFonts w:asciiTheme="minorHAnsi" w:eastAsia="Arial" w:hAnsiTheme="minorHAnsi" w:cs="Arial"/>
          <w:i/>
          <w:sz w:val="20"/>
          <w:szCs w:val="20"/>
          <w:highlight w:val="white"/>
        </w:rPr>
      </w:pPr>
    </w:p>
    <w:p w14:paraId="48AAA990" w14:textId="77777777" w:rsidR="00AE5758" w:rsidRDefault="00AE5758" w:rsidP="0003254B">
      <w:pPr>
        <w:spacing w:after="160"/>
        <w:ind w:left="860" w:right="860"/>
        <w:jc w:val="center"/>
        <w:rPr>
          <w:rFonts w:asciiTheme="minorHAnsi" w:eastAsia="Arial" w:hAnsiTheme="minorHAnsi" w:cs="Arial"/>
          <w:i/>
          <w:sz w:val="20"/>
          <w:szCs w:val="20"/>
          <w:highlight w:val="white"/>
        </w:rPr>
      </w:pPr>
    </w:p>
    <w:p w14:paraId="22D4C2C8" w14:textId="51EAD6A7" w:rsidR="00C277C6" w:rsidRDefault="00AE5758" w:rsidP="0003254B">
      <w:pPr>
        <w:pStyle w:val="Ttulo2"/>
        <w:jc w:val="center"/>
      </w:pPr>
      <w:bookmarkStart w:id="15" w:name="_Toc23443965"/>
      <w:r w:rsidRPr="002022F1">
        <w:t>Gráfica 10</w:t>
      </w:r>
      <w:r w:rsidR="00C277C6" w:rsidRPr="002022F1">
        <w:t>.  Eventos necesarios para aumentar el microcrédito en la economía.</w:t>
      </w:r>
      <w:bookmarkEnd w:id="15"/>
    </w:p>
    <w:p w14:paraId="42AD3A22" w14:textId="4A93FBC6" w:rsidR="00C277C6" w:rsidRPr="00C277C6" w:rsidRDefault="00C277C6">
      <w:pPr>
        <w:spacing w:after="160"/>
        <w:ind w:left="860" w:right="860"/>
        <w:jc w:val="both"/>
        <w:rPr>
          <w:rFonts w:asciiTheme="minorHAnsi" w:eastAsia="Arial" w:hAnsiTheme="minorHAnsi" w:cs="Arial"/>
          <w:i/>
          <w:sz w:val="20"/>
          <w:szCs w:val="20"/>
          <w:highlight w:val="white"/>
        </w:rPr>
      </w:pPr>
    </w:p>
    <w:p w14:paraId="466F5EF0" w14:textId="77777777" w:rsidR="000A7CAF" w:rsidRDefault="006602E4">
      <w:pPr>
        <w:spacing w:before="240" w:after="240"/>
        <w:jc w:val="center"/>
        <w:rPr>
          <w:rFonts w:ascii="Arial" w:eastAsia="Arial" w:hAnsi="Arial" w:cs="Arial"/>
          <w:sz w:val="24"/>
          <w:szCs w:val="24"/>
          <w:highlight w:val="white"/>
        </w:rPr>
      </w:pPr>
      <w:r>
        <w:rPr>
          <w:rFonts w:ascii="Arial" w:eastAsia="Arial" w:hAnsi="Arial" w:cs="Arial"/>
          <w:noProof/>
          <w:sz w:val="24"/>
          <w:szCs w:val="24"/>
          <w:highlight w:val="white"/>
        </w:rPr>
        <w:drawing>
          <wp:inline distT="114300" distB="114300" distL="114300" distR="114300" wp14:anchorId="48E16B57" wp14:editId="74D41CDE">
            <wp:extent cx="3596005" cy="3607930"/>
            <wp:effectExtent l="0" t="0" r="4445" b="0"/>
            <wp:docPr id="5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1"/>
                    <a:srcRect t="8679"/>
                    <a:stretch/>
                  </pic:blipFill>
                  <pic:spPr bwMode="auto">
                    <a:xfrm>
                      <a:off x="0" y="0"/>
                      <a:ext cx="3600354" cy="36122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13FFCF" w14:textId="71FF658A" w:rsidR="000A7CAF" w:rsidRPr="00C277C6" w:rsidRDefault="006602E4" w:rsidP="0003254B">
      <w:pPr>
        <w:spacing w:after="160"/>
        <w:ind w:left="860" w:right="860"/>
        <w:jc w:val="center"/>
        <w:rPr>
          <w:rFonts w:asciiTheme="minorHAnsi" w:eastAsia="Arial" w:hAnsiTheme="minorHAnsi" w:cs="Arial"/>
          <w:i/>
          <w:sz w:val="20"/>
          <w:szCs w:val="20"/>
          <w:highlight w:val="white"/>
        </w:rPr>
      </w:pPr>
      <w:r w:rsidRPr="00C277C6">
        <w:rPr>
          <w:rFonts w:asciiTheme="minorHAnsi" w:eastAsia="Arial" w:hAnsiTheme="minorHAnsi" w:cs="Arial"/>
          <w:b/>
          <w:sz w:val="20"/>
          <w:szCs w:val="20"/>
          <w:highlight w:val="white"/>
        </w:rPr>
        <w:t>Fuente:</w:t>
      </w:r>
      <w:r w:rsidRPr="00C277C6">
        <w:rPr>
          <w:rFonts w:asciiTheme="minorHAnsi" w:eastAsia="Arial" w:hAnsiTheme="minorHAnsi" w:cs="Arial"/>
          <w:sz w:val="20"/>
          <w:szCs w:val="20"/>
          <w:highlight w:val="white"/>
        </w:rPr>
        <w:t xml:space="preserve"> </w:t>
      </w:r>
      <w:r w:rsidRPr="00C277C6">
        <w:rPr>
          <w:rFonts w:asciiTheme="minorHAnsi" w:eastAsia="Arial" w:hAnsiTheme="minorHAnsi" w:cs="Arial"/>
          <w:i/>
          <w:sz w:val="20"/>
          <w:szCs w:val="20"/>
          <w:highlight w:val="white"/>
        </w:rPr>
        <w:t xml:space="preserve">Reporte de la Situación Actual del Microcrédito en Colombia”; Banco de la República; </w:t>
      </w:r>
      <w:r w:rsidR="00705B98" w:rsidRPr="00C277C6">
        <w:rPr>
          <w:rFonts w:asciiTheme="minorHAnsi" w:eastAsia="Arial" w:hAnsiTheme="minorHAnsi" w:cs="Arial"/>
          <w:i/>
          <w:sz w:val="20"/>
          <w:szCs w:val="20"/>
          <w:highlight w:val="white"/>
        </w:rPr>
        <w:t>septiembre</w:t>
      </w:r>
      <w:r w:rsidRPr="00C277C6">
        <w:rPr>
          <w:rFonts w:asciiTheme="minorHAnsi" w:eastAsia="Arial" w:hAnsiTheme="minorHAnsi" w:cs="Arial"/>
          <w:i/>
          <w:sz w:val="20"/>
          <w:szCs w:val="20"/>
          <w:highlight w:val="white"/>
        </w:rPr>
        <w:t xml:space="preserve"> de 2019.</w:t>
      </w:r>
    </w:p>
    <w:p w14:paraId="6389D8AE" w14:textId="77777777" w:rsidR="008452E6" w:rsidRDefault="008452E6">
      <w:pPr>
        <w:spacing w:after="0"/>
        <w:jc w:val="both"/>
      </w:pPr>
    </w:p>
    <w:p w14:paraId="56A216B3" w14:textId="26E86AA5" w:rsidR="0010058E" w:rsidRDefault="00B02354" w:rsidP="0010058E">
      <w:pPr>
        <w:spacing w:after="0"/>
        <w:jc w:val="both"/>
      </w:pPr>
      <w:r>
        <w:t xml:space="preserve">Si entendemos que las barreras de acceso a mecanismos de financiamiento son parte de las principales problemáticas que deben enfrentar las mipymes y emprendedores en la ciudad, para lograr un mayor crecimiento y sostenibilidad empresarial, las soluciones propuestas por parte de la SDDE van en dirección correcta; A la </w:t>
      </w:r>
      <w:r w:rsidR="008452E6">
        <w:t>fecha hemos</w:t>
      </w:r>
      <w:r>
        <w:t xml:space="preserve"> apoyado 3.612 mipymes de Bogotá con créditos de banca comercial, gracias a convenios con el Fondo Nacional de Garantías y Bancoldex.</w:t>
      </w:r>
    </w:p>
    <w:p w14:paraId="223CC245" w14:textId="60E62C36" w:rsidR="008452E6" w:rsidRDefault="008452E6" w:rsidP="0010058E">
      <w:pPr>
        <w:spacing w:after="0"/>
        <w:jc w:val="both"/>
      </w:pPr>
    </w:p>
    <w:p w14:paraId="793B0F19" w14:textId="4B3E491C" w:rsidR="008452E6" w:rsidRDefault="008452E6" w:rsidP="008452E6">
      <w:pPr>
        <w:spacing w:after="0"/>
        <w:jc w:val="both"/>
      </w:pPr>
      <w:r>
        <w:t>En línea con las recomendaciones a los gobiernos en materia de políticas públicas para enfrentar estos desafíos, hemos apoyado el cubrimiento de la comisión de las garantías crediticias siendo este mecanismo para la OECD el instrumento más utilizado por los gobiernos para facilitar el acceso a mecanismos de financiamiento</w:t>
      </w:r>
      <w:r>
        <w:rPr>
          <w:rStyle w:val="Refdenotaalpie"/>
        </w:rPr>
        <w:footnoteReference w:id="4"/>
      </w:r>
      <w:r>
        <w:t xml:space="preserve">. </w:t>
      </w:r>
    </w:p>
    <w:p w14:paraId="2F8785EC" w14:textId="4B0AC6F1" w:rsidR="008452E6" w:rsidRDefault="008452E6" w:rsidP="008452E6">
      <w:pPr>
        <w:spacing w:after="0"/>
        <w:jc w:val="both"/>
      </w:pPr>
    </w:p>
    <w:p w14:paraId="777EE2B0" w14:textId="385514BC" w:rsidR="008452E6" w:rsidRDefault="008452E6" w:rsidP="008452E6">
      <w:pPr>
        <w:spacing w:after="0"/>
        <w:jc w:val="both"/>
      </w:pPr>
      <w:r>
        <w:lastRenderedPageBreak/>
        <w:t xml:space="preserve">Es importante destacar que las consecuencias de tener barreras de acceso a financiamiento podrían limitar el crecimiento económico, la generación empleo, la cohesión </w:t>
      </w:r>
      <w:r w:rsidR="00025EFB">
        <w:t>social en</w:t>
      </w:r>
      <w:r>
        <w:t xml:space="preserve"> cuanto a que se entienden las mipymes como motor de generación de </w:t>
      </w:r>
      <w:r w:rsidR="00025EFB">
        <w:t>oportunidades laborales y desarrollo.</w:t>
      </w:r>
    </w:p>
    <w:p w14:paraId="270AD3C6" w14:textId="77777777" w:rsidR="007871A3" w:rsidRDefault="007871A3" w:rsidP="0010058E">
      <w:pPr>
        <w:spacing w:after="0"/>
        <w:jc w:val="both"/>
      </w:pPr>
    </w:p>
    <w:p w14:paraId="53BFE498" w14:textId="3201533A" w:rsidR="000A7CAF" w:rsidRPr="008232B3" w:rsidRDefault="006602E4" w:rsidP="00610EDE">
      <w:pPr>
        <w:pStyle w:val="Ttulo2"/>
        <w:jc w:val="center"/>
      </w:pPr>
      <w:bookmarkStart w:id="16" w:name="_Toc23443966"/>
      <w:r w:rsidRPr="008232B3">
        <w:t xml:space="preserve">1.3 </w:t>
      </w:r>
      <w:r w:rsidR="008E0388" w:rsidRPr="008232B3">
        <w:t>Mercados con productores más competitivos y cambios en tendencias de consumo</w:t>
      </w:r>
      <w:bookmarkEnd w:id="16"/>
    </w:p>
    <w:p w14:paraId="3333CC4A" w14:textId="77777777" w:rsidR="00EA61D4" w:rsidRDefault="00EA61D4">
      <w:pPr>
        <w:jc w:val="both"/>
      </w:pPr>
    </w:p>
    <w:p w14:paraId="36ADA451" w14:textId="0390459A" w:rsidR="008E0388" w:rsidRDefault="008E0388">
      <w:pPr>
        <w:jc w:val="both"/>
      </w:pPr>
      <w:r>
        <w:t xml:space="preserve">Bogotá es la ciudad </w:t>
      </w:r>
      <w:r w:rsidR="007871A3">
        <w:t>más</w:t>
      </w:r>
      <w:r>
        <w:t xml:space="preserve"> competitiva d</w:t>
      </w:r>
      <w:r w:rsidR="00EA61D4">
        <w:t>el país según el</w:t>
      </w:r>
      <w:r>
        <w:t xml:space="preserve"> </w:t>
      </w:r>
      <w:r w:rsidR="00EA61D4">
        <w:t>Consejo Privado de Competitividad. E</w:t>
      </w:r>
      <w:r>
        <w:t>n el componente de innovación y dinámica empresarial</w:t>
      </w:r>
      <w:r w:rsidR="00404243">
        <w:t xml:space="preserve"> como se demuestra en la siguiente gráfica</w:t>
      </w:r>
      <w:r>
        <w:t xml:space="preserve"> también se encuentra en el primer lugar</w:t>
      </w:r>
      <w:r w:rsidR="00EA61D4">
        <w:t>. Sin embargo,</w:t>
      </w:r>
      <w:r>
        <w:t xml:space="preserve"> </w:t>
      </w:r>
      <w:r w:rsidR="00404243">
        <w:t>el</w:t>
      </w:r>
      <w:r>
        <w:t xml:space="preserve"> aparato productivo debe estar en permanente ajuste en </w:t>
      </w:r>
      <w:r w:rsidR="00EA61D4">
        <w:t>función de la creciente competitividad y exigencia del mercado, ello para responder de manera dinámica a los cambios en los p</w:t>
      </w:r>
      <w:r>
        <w:t>arámetros de consumo</w:t>
      </w:r>
      <w:r w:rsidR="00EA61D4">
        <w:t xml:space="preserve">. </w:t>
      </w:r>
    </w:p>
    <w:p w14:paraId="05BB5EDA" w14:textId="7126E28B" w:rsidR="000A7CAF" w:rsidRPr="00C277C6" w:rsidRDefault="00AE5758" w:rsidP="00AE5758">
      <w:pPr>
        <w:jc w:val="center"/>
        <w:rPr>
          <w:rFonts w:asciiTheme="majorHAnsi" w:eastAsiaTheme="majorEastAsia" w:hAnsiTheme="majorHAnsi" w:cstheme="majorBidi"/>
          <w:b/>
          <w:bCs/>
          <w:color w:val="4F81BD" w:themeColor="accent1"/>
          <w:sz w:val="26"/>
          <w:szCs w:val="26"/>
        </w:rPr>
      </w:pPr>
      <w:r w:rsidRPr="002022F1">
        <w:rPr>
          <w:rFonts w:asciiTheme="majorHAnsi" w:eastAsiaTheme="majorEastAsia" w:hAnsiTheme="majorHAnsi" w:cstheme="majorBidi"/>
          <w:b/>
          <w:bCs/>
          <w:color w:val="4F81BD" w:themeColor="accent1"/>
          <w:sz w:val="26"/>
          <w:szCs w:val="26"/>
        </w:rPr>
        <w:t>Gráfica 11</w:t>
      </w:r>
      <w:r w:rsidR="00C277C6" w:rsidRPr="002022F1">
        <w:rPr>
          <w:rFonts w:asciiTheme="majorHAnsi" w:eastAsiaTheme="majorEastAsia" w:hAnsiTheme="majorHAnsi" w:cstheme="majorBidi"/>
          <w:b/>
          <w:bCs/>
          <w:color w:val="4F81BD" w:themeColor="accent1"/>
          <w:sz w:val="26"/>
          <w:szCs w:val="26"/>
        </w:rPr>
        <w:t xml:space="preserve">. </w:t>
      </w:r>
      <w:r w:rsidR="00701BB3" w:rsidRPr="002022F1">
        <w:rPr>
          <w:rFonts w:asciiTheme="majorHAnsi" w:eastAsiaTheme="majorEastAsia" w:hAnsiTheme="majorHAnsi" w:cstheme="majorBidi"/>
          <w:b/>
          <w:bCs/>
          <w:color w:val="4F81BD" w:themeColor="accent1"/>
          <w:sz w:val="26"/>
          <w:szCs w:val="26"/>
        </w:rPr>
        <w:t>Resultados</w:t>
      </w:r>
      <w:r w:rsidR="00C277C6" w:rsidRPr="002022F1">
        <w:rPr>
          <w:rFonts w:asciiTheme="majorHAnsi" w:eastAsiaTheme="majorEastAsia" w:hAnsiTheme="majorHAnsi" w:cstheme="majorBidi"/>
          <w:b/>
          <w:bCs/>
          <w:color w:val="4F81BD" w:themeColor="accent1"/>
          <w:sz w:val="26"/>
          <w:szCs w:val="26"/>
        </w:rPr>
        <w:t xml:space="preserve"> Índice d</w:t>
      </w:r>
      <w:r w:rsidR="00701BB3" w:rsidRPr="002022F1">
        <w:rPr>
          <w:rFonts w:asciiTheme="majorHAnsi" w:eastAsiaTheme="majorEastAsia" w:hAnsiTheme="majorHAnsi" w:cstheme="majorBidi"/>
          <w:b/>
          <w:bCs/>
          <w:color w:val="4F81BD" w:themeColor="accent1"/>
          <w:sz w:val="26"/>
          <w:szCs w:val="26"/>
        </w:rPr>
        <w:t xml:space="preserve">e Competitividad </w:t>
      </w:r>
      <w:r w:rsidR="00C277C6" w:rsidRPr="002022F1">
        <w:rPr>
          <w:rFonts w:asciiTheme="majorHAnsi" w:eastAsiaTheme="majorEastAsia" w:hAnsiTheme="majorHAnsi" w:cstheme="majorBidi"/>
          <w:b/>
          <w:bCs/>
          <w:color w:val="4F81BD" w:themeColor="accent1"/>
          <w:sz w:val="26"/>
          <w:szCs w:val="26"/>
        </w:rPr>
        <w:t>d</w:t>
      </w:r>
      <w:r w:rsidR="00701BB3" w:rsidRPr="002022F1">
        <w:rPr>
          <w:rFonts w:asciiTheme="majorHAnsi" w:eastAsiaTheme="majorEastAsia" w:hAnsiTheme="majorHAnsi" w:cstheme="majorBidi"/>
          <w:b/>
          <w:bCs/>
          <w:color w:val="4F81BD" w:themeColor="accent1"/>
          <w:sz w:val="26"/>
          <w:szCs w:val="26"/>
        </w:rPr>
        <w:t>e Ciudades (ICC) 2019</w:t>
      </w:r>
    </w:p>
    <w:p w14:paraId="1AB582CA" w14:textId="40596668" w:rsidR="00701BB3" w:rsidRDefault="00701BB3">
      <w:pPr>
        <w:jc w:val="center"/>
      </w:pPr>
      <w:r>
        <w:rPr>
          <w:noProof/>
        </w:rPr>
        <w:drawing>
          <wp:inline distT="0" distB="0" distL="0" distR="0" wp14:anchorId="40BA85A4" wp14:editId="3833B3A6">
            <wp:extent cx="5612130" cy="4157945"/>
            <wp:effectExtent l="0" t="0" r="7620" b="0"/>
            <wp:docPr id="39" name="Imagen 39" descr="https://compite.com.co/wp-content/uploads/2019/06/soporte2-1024x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ite.com.co/wp-content/uploads/2019/06/soporte2-1024x75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4157945"/>
                    </a:xfrm>
                    <a:prstGeom prst="rect">
                      <a:avLst/>
                    </a:prstGeom>
                    <a:noFill/>
                    <a:ln>
                      <a:noFill/>
                    </a:ln>
                  </pic:spPr>
                </pic:pic>
              </a:graphicData>
            </a:graphic>
          </wp:inline>
        </w:drawing>
      </w:r>
    </w:p>
    <w:p w14:paraId="0EFE3E83" w14:textId="23D6D277" w:rsidR="00701BB3" w:rsidRPr="00C277C6" w:rsidRDefault="00701BB3" w:rsidP="00701BB3">
      <w:pPr>
        <w:jc w:val="center"/>
        <w:rPr>
          <w:sz w:val="20"/>
          <w:szCs w:val="20"/>
        </w:rPr>
      </w:pPr>
      <w:r w:rsidRPr="00C277C6">
        <w:rPr>
          <w:b/>
          <w:sz w:val="20"/>
          <w:szCs w:val="20"/>
        </w:rPr>
        <w:t>Fuente:</w:t>
      </w:r>
      <w:r w:rsidRPr="00C277C6">
        <w:rPr>
          <w:sz w:val="20"/>
          <w:szCs w:val="20"/>
        </w:rPr>
        <w:t xml:space="preserve"> </w:t>
      </w:r>
      <w:r w:rsidRPr="00C277C6">
        <w:rPr>
          <w:i/>
          <w:sz w:val="20"/>
          <w:szCs w:val="20"/>
        </w:rPr>
        <w:t>Consejo Privado de Competitividad. Junio 2019</w:t>
      </w:r>
      <w:r w:rsidR="00C277C6">
        <w:rPr>
          <w:i/>
          <w:sz w:val="20"/>
          <w:szCs w:val="20"/>
        </w:rPr>
        <w:t>.</w:t>
      </w:r>
    </w:p>
    <w:p w14:paraId="13C03338" w14:textId="77777777" w:rsidR="00701BB3" w:rsidRDefault="00701BB3">
      <w:pPr>
        <w:jc w:val="both"/>
      </w:pPr>
    </w:p>
    <w:p w14:paraId="0DC8A6E6" w14:textId="79A17509" w:rsidR="00701BB3" w:rsidRDefault="00701BB3">
      <w:pPr>
        <w:jc w:val="both"/>
      </w:pPr>
      <w:r w:rsidRPr="00701BB3">
        <w:lastRenderedPageBreak/>
        <w:t>Según el Índice de Competitividad de Ciudades (ICC) 2019, Bogotá es la ciudad más competitiva del país con un puntaje global de 7,5 sobre 10</w:t>
      </w:r>
      <w:r>
        <w:t>, como se observa en la gráfica</w:t>
      </w:r>
      <w:r w:rsidRPr="00701BB3">
        <w:t>. Bogotá ocupó el puesto número uno en los pilares: instituciones, infraestructura y equipamiento, mercado laboral, sistema financiero, tamaño de mercado, innovación y dinámica empresarial. Más aún, desagregando los pilares recién mencionados, la ciudad ocupó el primer lugar en los siguientes 17 indicadores: Actualización catastral, autonomía fiscal, cobertura de alcantarillado, pasajeros movilizados por vía aérea, población conectada por vía aérea, ancho de banda de internet, índice municipal de gestión del riesgo, inversión en salud pública, dominio de segundo idioma, número de egresados del SENA vinculados al mercado laboral, tasa global de participación en el mercado laboral, cobertura establecimientos financieros, tamaño de mercado interno, complejidad del aparato productivo, registros de propiedad industrial, tasa de natalidad empresarial neta, densidad empresarial.</w:t>
      </w:r>
    </w:p>
    <w:p w14:paraId="2BC76ED4" w14:textId="02E43787" w:rsidR="00F9261E" w:rsidRDefault="00F9261E" w:rsidP="00F9261E">
      <w:pPr>
        <w:jc w:val="both"/>
        <w:rPr>
          <w:rFonts w:asciiTheme="minorHAnsi" w:hAnsiTheme="minorHAnsi" w:cstheme="minorHAnsi"/>
          <w:color w:val="000000" w:themeColor="text1"/>
          <w:shd w:val="clear" w:color="auto" w:fill="FFFFFF"/>
        </w:rPr>
      </w:pPr>
      <w:r w:rsidRPr="00F9261E">
        <w:rPr>
          <w:rFonts w:asciiTheme="minorHAnsi" w:hAnsiTheme="minorHAnsi" w:cstheme="minorHAnsi"/>
        </w:rPr>
        <w:t xml:space="preserve">Por otra parte, según el Doing Business, </w:t>
      </w:r>
      <w:r w:rsidRPr="00F9261E">
        <w:rPr>
          <w:rFonts w:asciiTheme="minorHAnsi" w:hAnsiTheme="minorHAnsi" w:cstheme="minorHAnsi"/>
          <w:color w:val="000000" w:themeColor="text1"/>
          <w:shd w:val="clear" w:color="auto" w:fill="FFFFFF"/>
        </w:rPr>
        <w:t xml:space="preserve">Bogotá de una muestra representativa de ciudades capitales se encuentra en el segundo mejor lugar en el ranking de facilidad para hacer negocios entre 12 ciudades de América Latina. Las ciudades que le siguen, con un menor puntaje, son Lima, Santiago de Chile y Ciudad de Panamá. </w:t>
      </w:r>
    </w:p>
    <w:p w14:paraId="55AE2443" w14:textId="14B1F4E3" w:rsidR="00610EDE" w:rsidRPr="00610EDE" w:rsidRDefault="00C277C6" w:rsidP="00610EDE">
      <w:pPr>
        <w:pStyle w:val="Ttulo2"/>
        <w:jc w:val="center"/>
      </w:pPr>
      <w:bookmarkStart w:id="17" w:name="_Toc23443967"/>
      <w:r w:rsidRPr="00AE5758">
        <w:t xml:space="preserve">Tabla </w:t>
      </w:r>
      <w:r w:rsidR="00C72DCF" w:rsidRPr="00AE5758">
        <w:t>1.</w:t>
      </w:r>
      <w:r w:rsidRPr="00AE5758">
        <w:t xml:space="preserve">  </w:t>
      </w:r>
      <w:r w:rsidR="00C72DCF" w:rsidRPr="00AE5758">
        <w:t xml:space="preserve"> Facilidad para hacer </w:t>
      </w:r>
      <w:r w:rsidR="00B03B0E">
        <w:t>negocios Bogotá vs. Otras ciudades</w:t>
      </w:r>
      <w:r w:rsidR="00C72DCF" w:rsidRPr="00AE5758">
        <w:t>.</w:t>
      </w:r>
      <w:bookmarkEnd w:id="17"/>
    </w:p>
    <w:p w14:paraId="47ED23DE" w14:textId="33F770DC" w:rsidR="00F9261E" w:rsidRDefault="00F9261E" w:rsidP="00F9261E">
      <w:pPr>
        <w:jc w:val="center"/>
        <w:rPr>
          <w:rFonts w:asciiTheme="minorHAnsi" w:hAnsiTheme="minorHAnsi" w:cstheme="minorHAnsi"/>
        </w:rPr>
      </w:pPr>
      <w:r w:rsidRPr="00F9261E">
        <w:rPr>
          <w:rFonts w:asciiTheme="minorHAnsi" w:hAnsiTheme="minorHAnsi" w:cstheme="minorHAnsi"/>
          <w:noProof/>
        </w:rPr>
        <w:drawing>
          <wp:inline distT="0" distB="0" distL="0" distR="0" wp14:anchorId="1F00B94E" wp14:editId="3AF0BAAD">
            <wp:extent cx="4010025" cy="11430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3">
                      <a:extLst>
                        <a:ext uri="{28A0092B-C50C-407E-A947-70E740481C1C}">
                          <a14:useLocalDpi xmlns:a14="http://schemas.microsoft.com/office/drawing/2010/main" val="0"/>
                        </a:ext>
                      </a:extLst>
                    </a:blip>
                    <a:srcRect b="14894"/>
                    <a:stretch/>
                  </pic:blipFill>
                  <pic:spPr bwMode="auto">
                    <a:xfrm>
                      <a:off x="0" y="0"/>
                      <a:ext cx="4010025" cy="1143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6B16CB5" w14:textId="0C600E10" w:rsidR="00C72DCF" w:rsidRPr="00C72DCF" w:rsidRDefault="00C72DCF" w:rsidP="00F9261E">
      <w:pPr>
        <w:jc w:val="center"/>
        <w:rPr>
          <w:rFonts w:asciiTheme="minorHAnsi" w:hAnsiTheme="minorHAnsi" w:cstheme="minorHAnsi"/>
          <w:sz w:val="20"/>
          <w:szCs w:val="20"/>
        </w:rPr>
      </w:pPr>
      <w:r w:rsidRPr="00C72DCF">
        <w:rPr>
          <w:rFonts w:asciiTheme="minorHAnsi" w:hAnsiTheme="minorHAnsi" w:cstheme="minorHAnsi"/>
          <w:b/>
          <w:sz w:val="20"/>
          <w:szCs w:val="20"/>
        </w:rPr>
        <w:t>Fuente:</w:t>
      </w:r>
      <w:r w:rsidRPr="00C72DCF">
        <w:rPr>
          <w:rFonts w:asciiTheme="minorHAnsi" w:hAnsiTheme="minorHAnsi" w:cstheme="minorHAnsi"/>
          <w:sz w:val="20"/>
          <w:szCs w:val="20"/>
        </w:rPr>
        <w:t xml:space="preserve"> </w:t>
      </w:r>
      <w:r w:rsidRPr="00C72DCF">
        <w:rPr>
          <w:rFonts w:asciiTheme="minorHAnsi" w:hAnsiTheme="minorHAnsi" w:cstheme="minorHAnsi"/>
          <w:i/>
          <w:sz w:val="20"/>
          <w:szCs w:val="20"/>
        </w:rPr>
        <w:t>Banco Mundial, Doing Business 2017</w:t>
      </w:r>
      <w:r w:rsidRPr="00C72DCF">
        <w:rPr>
          <w:rFonts w:asciiTheme="minorHAnsi" w:hAnsiTheme="minorHAnsi" w:cstheme="minorHAnsi"/>
          <w:sz w:val="20"/>
          <w:szCs w:val="20"/>
        </w:rPr>
        <w:t xml:space="preserve"> </w:t>
      </w:r>
    </w:p>
    <w:p w14:paraId="63292C88" w14:textId="6FAB16A4" w:rsidR="00C72DCF" w:rsidRPr="002022F1" w:rsidRDefault="00B03B0E" w:rsidP="00C72DCF">
      <w:pPr>
        <w:pStyle w:val="Ttulo2"/>
        <w:jc w:val="both"/>
      </w:pPr>
      <w:bookmarkStart w:id="18" w:name="_Toc23443968"/>
      <w:r w:rsidRPr="002022F1">
        <w:t>Gráfica 11</w:t>
      </w:r>
      <w:r w:rsidR="00C72DCF" w:rsidRPr="002022F1">
        <w:t xml:space="preserve">.   Facilidad para hacer </w:t>
      </w:r>
      <w:r w:rsidRPr="002022F1">
        <w:t>negocios Bogotá vs. Otras ciudades</w:t>
      </w:r>
      <w:r w:rsidR="00C72DCF" w:rsidRPr="002022F1">
        <w:t>.</w:t>
      </w:r>
      <w:bookmarkEnd w:id="18"/>
      <w:r w:rsidR="00C72DCF" w:rsidRPr="002022F1">
        <w:t xml:space="preserve"> </w:t>
      </w:r>
    </w:p>
    <w:p w14:paraId="6F85DCFA" w14:textId="77777777" w:rsidR="00F9261E" w:rsidRPr="002022F1" w:rsidRDefault="00F9261E" w:rsidP="00F9261E">
      <w:pPr>
        <w:jc w:val="both"/>
        <w:rPr>
          <w:rFonts w:asciiTheme="minorHAnsi" w:hAnsiTheme="minorHAnsi" w:cstheme="minorHAnsi"/>
        </w:rPr>
      </w:pPr>
    </w:p>
    <w:p w14:paraId="7D7B6125" w14:textId="6CC53277" w:rsidR="00F9261E" w:rsidRDefault="00F9261E" w:rsidP="00F9261E">
      <w:pPr>
        <w:jc w:val="center"/>
        <w:rPr>
          <w:rFonts w:asciiTheme="minorHAnsi" w:hAnsiTheme="minorHAnsi" w:cstheme="minorHAnsi"/>
        </w:rPr>
      </w:pPr>
      <w:r w:rsidRPr="002022F1">
        <w:rPr>
          <w:rFonts w:asciiTheme="minorHAnsi" w:hAnsiTheme="minorHAnsi" w:cstheme="minorHAnsi"/>
          <w:noProof/>
        </w:rPr>
        <w:drawing>
          <wp:inline distT="0" distB="0" distL="0" distR="0" wp14:anchorId="79ADBBFC" wp14:editId="46AF98A8">
            <wp:extent cx="3686175" cy="1590675"/>
            <wp:effectExtent l="0" t="0" r="9525" b="952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4AD23D" w14:textId="3A5CE3BA" w:rsidR="00F9261E" w:rsidRPr="00C72DCF" w:rsidRDefault="00C72DCF" w:rsidP="00C72DCF">
      <w:pPr>
        <w:jc w:val="center"/>
        <w:rPr>
          <w:rFonts w:asciiTheme="minorHAnsi" w:hAnsiTheme="minorHAnsi" w:cstheme="minorHAnsi"/>
          <w:sz w:val="20"/>
          <w:szCs w:val="20"/>
        </w:rPr>
      </w:pPr>
      <w:r w:rsidRPr="00C72DCF">
        <w:rPr>
          <w:rFonts w:asciiTheme="minorHAnsi" w:hAnsiTheme="minorHAnsi" w:cstheme="minorHAnsi"/>
          <w:b/>
          <w:sz w:val="20"/>
          <w:szCs w:val="20"/>
        </w:rPr>
        <w:t>Fuente:</w:t>
      </w:r>
      <w:r w:rsidRPr="00C72DCF">
        <w:rPr>
          <w:rFonts w:asciiTheme="minorHAnsi" w:hAnsiTheme="minorHAnsi" w:cstheme="minorHAnsi"/>
          <w:sz w:val="20"/>
          <w:szCs w:val="20"/>
        </w:rPr>
        <w:t xml:space="preserve"> </w:t>
      </w:r>
      <w:r w:rsidRPr="00C72DCF">
        <w:rPr>
          <w:rFonts w:asciiTheme="minorHAnsi" w:hAnsiTheme="minorHAnsi" w:cstheme="minorHAnsi"/>
          <w:i/>
          <w:sz w:val="20"/>
          <w:szCs w:val="20"/>
        </w:rPr>
        <w:t>Banco Mundial, Doing Business 2017</w:t>
      </w:r>
      <w:r>
        <w:rPr>
          <w:rFonts w:asciiTheme="minorHAnsi" w:hAnsiTheme="minorHAnsi" w:cstheme="minorHAnsi"/>
          <w:sz w:val="20"/>
          <w:szCs w:val="20"/>
        </w:rPr>
        <w:t>.</w:t>
      </w:r>
    </w:p>
    <w:p w14:paraId="2E702323" w14:textId="77777777" w:rsidR="00F9261E" w:rsidRPr="00F9261E" w:rsidRDefault="00F9261E" w:rsidP="00F9261E">
      <w:pPr>
        <w:jc w:val="both"/>
        <w:rPr>
          <w:rFonts w:asciiTheme="minorHAnsi" w:hAnsiTheme="minorHAnsi" w:cstheme="minorHAnsi"/>
        </w:rPr>
      </w:pPr>
    </w:p>
    <w:p w14:paraId="5F0812F4" w14:textId="12D946D3" w:rsidR="00F9261E" w:rsidRDefault="00F9261E" w:rsidP="00F9261E">
      <w:pPr>
        <w:jc w:val="both"/>
        <w:rPr>
          <w:rFonts w:asciiTheme="minorHAnsi" w:hAnsiTheme="minorHAnsi" w:cstheme="minorHAnsi"/>
        </w:rPr>
      </w:pPr>
      <w:r w:rsidRPr="00F9261E">
        <w:rPr>
          <w:rFonts w:asciiTheme="minorHAnsi" w:hAnsiTheme="minorHAnsi" w:cstheme="minorHAnsi"/>
        </w:rPr>
        <w:lastRenderedPageBreak/>
        <w:t xml:space="preserve">Así mismo, Bogotá tiene el mejor puntaje para protección a inversionistas entre 12 ciudades analizadas de América Latina. </w:t>
      </w:r>
      <w:r>
        <w:rPr>
          <w:rFonts w:asciiTheme="minorHAnsi" w:hAnsiTheme="minorHAnsi" w:cstheme="minorHAnsi"/>
        </w:rPr>
        <w:t>Y ocupa el puesto 14 e</w:t>
      </w:r>
      <w:r w:rsidRPr="00F9261E">
        <w:rPr>
          <w:rFonts w:asciiTheme="minorHAnsi" w:hAnsiTheme="minorHAnsi" w:cstheme="minorHAnsi"/>
        </w:rPr>
        <w:t>n el Ranking Doing Business 2017</w:t>
      </w:r>
      <w:r>
        <w:rPr>
          <w:rFonts w:asciiTheme="minorHAnsi" w:hAnsiTheme="minorHAnsi" w:cstheme="minorHAnsi"/>
        </w:rPr>
        <w:t xml:space="preserve"> en esta categoría</w:t>
      </w:r>
      <w:r w:rsidRPr="00F9261E">
        <w:rPr>
          <w:rFonts w:asciiTheme="minorHAnsi" w:hAnsiTheme="minorHAnsi" w:cstheme="minorHAnsi"/>
        </w:rPr>
        <w:t xml:space="preserve"> entre 190 economías en el mundo. </w:t>
      </w:r>
    </w:p>
    <w:p w14:paraId="347ED69C" w14:textId="69956A04" w:rsidR="00C72DCF" w:rsidRDefault="00C72DCF" w:rsidP="00610EDE">
      <w:pPr>
        <w:pStyle w:val="Ttulo2"/>
        <w:jc w:val="center"/>
      </w:pPr>
      <w:bookmarkStart w:id="19" w:name="_Toc23443969"/>
      <w:r w:rsidRPr="002022F1">
        <w:t>Tabla 2.  Protección a inversi</w:t>
      </w:r>
      <w:r w:rsidR="00610EDE" w:rsidRPr="002022F1">
        <w:t>onistas Bogotá vs. Otras ciudades</w:t>
      </w:r>
      <w:r w:rsidRPr="002022F1">
        <w:t>.</w:t>
      </w:r>
      <w:bookmarkEnd w:id="19"/>
    </w:p>
    <w:p w14:paraId="755AF0E9" w14:textId="77777777" w:rsidR="00610EDE" w:rsidRPr="00610EDE" w:rsidRDefault="00610EDE" w:rsidP="00610EDE"/>
    <w:p w14:paraId="53CC0736" w14:textId="566B04C2" w:rsidR="00F9261E" w:rsidRDefault="00F9261E" w:rsidP="00F9261E">
      <w:pPr>
        <w:jc w:val="center"/>
        <w:rPr>
          <w:rFonts w:ascii="Times New Roman" w:hAnsi="Times New Roman" w:cs="Times New Roman"/>
          <w:sz w:val="24"/>
          <w:szCs w:val="24"/>
        </w:rPr>
      </w:pPr>
      <w:r w:rsidRPr="003A464A">
        <w:rPr>
          <w:rFonts w:ascii="Times New Roman" w:hAnsi="Times New Roman" w:cs="Times New Roman"/>
          <w:noProof/>
          <w:sz w:val="24"/>
          <w:szCs w:val="24"/>
        </w:rPr>
        <w:drawing>
          <wp:inline distT="0" distB="0" distL="0" distR="0" wp14:anchorId="67EC0F45" wp14:editId="77976555">
            <wp:extent cx="3476625" cy="11620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b="24223"/>
                    <a:stretch/>
                  </pic:blipFill>
                  <pic:spPr bwMode="auto">
                    <a:xfrm>
                      <a:off x="0" y="0"/>
                      <a:ext cx="3476625" cy="11620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A26842" w14:textId="3D0E26F0" w:rsidR="00C72DCF" w:rsidRPr="00B03B0E" w:rsidRDefault="00C72DCF" w:rsidP="00C72DCF">
      <w:pPr>
        <w:jc w:val="center"/>
        <w:rPr>
          <w:rFonts w:asciiTheme="minorHAnsi" w:hAnsiTheme="minorHAnsi" w:cstheme="minorHAnsi"/>
          <w:i/>
          <w:sz w:val="20"/>
          <w:szCs w:val="20"/>
        </w:rPr>
      </w:pPr>
      <w:r w:rsidRPr="00B03B0E">
        <w:rPr>
          <w:rFonts w:asciiTheme="minorHAnsi" w:hAnsiTheme="minorHAnsi" w:cstheme="minorHAnsi"/>
          <w:b/>
          <w:i/>
          <w:sz w:val="20"/>
          <w:szCs w:val="20"/>
        </w:rPr>
        <w:t>Fuente:</w:t>
      </w:r>
      <w:r w:rsidRPr="00B03B0E">
        <w:rPr>
          <w:rFonts w:asciiTheme="minorHAnsi" w:hAnsiTheme="minorHAnsi" w:cstheme="minorHAnsi"/>
          <w:i/>
          <w:sz w:val="20"/>
          <w:szCs w:val="20"/>
        </w:rPr>
        <w:t xml:space="preserve"> Banco Mundial, Doing Business 2017.</w:t>
      </w:r>
    </w:p>
    <w:p w14:paraId="2678D896" w14:textId="73208EEF" w:rsidR="00C72DCF" w:rsidRDefault="00B03B0E" w:rsidP="0003254B">
      <w:pPr>
        <w:pStyle w:val="Ttulo2"/>
        <w:jc w:val="center"/>
      </w:pPr>
      <w:bookmarkStart w:id="20" w:name="_Toc23443970"/>
      <w:r w:rsidRPr="002022F1">
        <w:t>Gráfica 12</w:t>
      </w:r>
      <w:r w:rsidR="00C72DCF" w:rsidRPr="002022F1">
        <w:t>.   Protección a invers</w:t>
      </w:r>
      <w:r w:rsidRPr="002022F1">
        <w:t>ionistas Bogotá vs. Otras Ciudades</w:t>
      </w:r>
      <w:r w:rsidR="00C72DCF" w:rsidRPr="002022F1">
        <w:t>.</w:t>
      </w:r>
      <w:bookmarkEnd w:id="20"/>
    </w:p>
    <w:p w14:paraId="20FD92B3" w14:textId="77777777" w:rsidR="00C72DCF" w:rsidRDefault="00C72DCF" w:rsidP="00F9261E">
      <w:pPr>
        <w:jc w:val="center"/>
        <w:rPr>
          <w:rFonts w:ascii="Times New Roman" w:hAnsi="Times New Roman" w:cs="Times New Roman"/>
          <w:sz w:val="24"/>
          <w:szCs w:val="24"/>
        </w:rPr>
      </w:pPr>
    </w:p>
    <w:p w14:paraId="553D8406" w14:textId="17F8976F" w:rsidR="00F9261E" w:rsidRDefault="00F9261E" w:rsidP="00F9261E">
      <w:pPr>
        <w:jc w:val="center"/>
        <w:rPr>
          <w:rFonts w:ascii="Times New Roman" w:hAnsi="Times New Roman" w:cs="Times New Roman"/>
          <w:sz w:val="24"/>
          <w:szCs w:val="24"/>
        </w:rPr>
      </w:pPr>
      <w:r>
        <w:rPr>
          <w:noProof/>
        </w:rPr>
        <w:drawing>
          <wp:inline distT="0" distB="0" distL="0" distR="0" wp14:anchorId="770C6B95" wp14:editId="32902F50">
            <wp:extent cx="4371975" cy="1247775"/>
            <wp:effectExtent l="0" t="0" r="9525" b="952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32EF57C" w14:textId="27433E1E" w:rsidR="00F9261E" w:rsidRPr="0003254B" w:rsidRDefault="00C72DCF" w:rsidP="00C72DCF">
      <w:pPr>
        <w:jc w:val="center"/>
        <w:rPr>
          <w:rFonts w:asciiTheme="minorHAnsi" w:hAnsiTheme="minorHAnsi" w:cstheme="minorHAnsi"/>
          <w:i/>
          <w:sz w:val="20"/>
          <w:szCs w:val="20"/>
        </w:rPr>
      </w:pPr>
      <w:r w:rsidRPr="0003254B">
        <w:rPr>
          <w:rFonts w:asciiTheme="minorHAnsi" w:hAnsiTheme="minorHAnsi" w:cstheme="minorHAnsi"/>
          <w:b/>
          <w:i/>
          <w:sz w:val="20"/>
          <w:szCs w:val="20"/>
        </w:rPr>
        <w:t>Fuente:</w:t>
      </w:r>
      <w:r w:rsidRPr="0003254B">
        <w:rPr>
          <w:rFonts w:asciiTheme="minorHAnsi" w:hAnsiTheme="minorHAnsi" w:cstheme="minorHAnsi"/>
          <w:i/>
          <w:sz w:val="20"/>
          <w:szCs w:val="20"/>
        </w:rPr>
        <w:t xml:space="preserve"> Banco Mundial, Doing Business 2017. </w:t>
      </w:r>
    </w:p>
    <w:p w14:paraId="22BB47E9" w14:textId="77777777" w:rsidR="00C72DCF" w:rsidRPr="00C72DCF" w:rsidRDefault="00C72DCF" w:rsidP="00C72DCF">
      <w:pPr>
        <w:jc w:val="center"/>
        <w:rPr>
          <w:rStyle w:val="Ttulo2Car"/>
          <w:rFonts w:asciiTheme="minorHAnsi" w:eastAsia="Calibri" w:hAnsiTheme="minorHAnsi" w:cstheme="minorHAnsi"/>
          <w:b w:val="0"/>
          <w:bCs w:val="0"/>
          <w:color w:val="auto"/>
          <w:sz w:val="20"/>
          <w:szCs w:val="20"/>
        </w:rPr>
      </w:pPr>
    </w:p>
    <w:p w14:paraId="7A993C91" w14:textId="3B72A15F" w:rsidR="00F9261E" w:rsidRDefault="00F9261E" w:rsidP="00F9261E">
      <w:pPr>
        <w:jc w:val="both"/>
        <w:rPr>
          <w:rFonts w:asciiTheme="minorHAnsi" w:hAnsiTheme="minorHAnsi" w:cstheme="minorHAnsi"/>
        </w:rPr>
      </w:pPr>
      <w:r w:rsidRPr="00F9261E">
        <w:rPr>
          <w:rFonts w:asciiTheme="minorHAnsi" w:hAnsiTheme="minorHAnsi" w:cstheme="minorHAnsi"/>
        </w:rPr>
        <w:t>Por otra parte, Bogotá cuenta con un aeropuerto de talla mundial que facilita turismo, inversiones, exportaciones, nuevos negocios. Bogotá ha sido parte del top 100 de mejores aeropuertos del mundo según Skytrax desde 2015, ocupó el primer lugar en Latinoamérica de manera consecutiva entre 2016 y 2018 y obtuvo el tercer puesto en 2019. Además, en la categoría de aeropuertos que transportan entre 30 y 40 millones de pasajeros al año, Bogotá fue el quinto mejor aeropuerto del mundo en 2019.</w:t>
      </w:r>
      <w:r w:rsidRPr="00F9261E">
        <w:rPr>
          <w:rStyle w:val="Refdenotaalpie"/>
          <w:rFonts w:asciiTheme="minorHAnsi" w:hAnsiTheme="minorHAnsi" w:cstheme="minorHAnsi"/>
        </w:rPr>
        <w:footnoteReference w:id="5"/>
      </w:r>
    </w:p>
    <w:p w14:paraId="42896129" w14:textId="77777777" w:rsidR="0003254B" w:rsidRDefault="0003254B" w:rsidP="00C72DCF">
      <w:pPr>
        <w:pStyle w:val="Ttulo2"/>
        <w:jc w:val="both"/>
      </w:pPr>
      <w:bookmarkStart w:id="21" w:name="_Toc16859658"/>
    </w:p>
    <w:p w14:paraId="7363E876" w14:textId="63871A4E" w:rsidR="00C72DCF" w:rsidRPr="00C72DCF" w:rsidRDefault="00C72DCF" w:rsidP="0003254B">
      <w:pPr>
        <w:pStyle w:val="Ttulo2"/>
        <w:jc w:val="center"/>
      </w:pPr>
      <w:bookmarkStart w:id="22" w:name="_Toc23443971"/>
      <w:r>
        <w:t xml:space="preserve">Tabla 3. </w:t>
      </w:r>
      <w:r w:rsidR="00F9261E" w:rsidRPr="00C72DCF">
        <w:t>Ranking general Skytrax: mejores aeropuertos de Latinoamérica</w:t>
      </w:r>
      <w:bookmarkEnd w:id="21"/>
      <w:bookmarkEnd w:id="22"/>
    </w:p>
    <w:p w14:paraId="1CF379AA" w14:textId="57A11204" w:rsidR="00F9261E" w:rsidRDefault="00F9261E" w:rsidP="00F9261E">
      <w:pPr>
        <w:jc w:val="center"/>
      </w:pPr>
      <w:r w:rsidRPr="003D38C5">
        <w:rPr>
          <w:noProof/>
        </w:rPr>
        <w:drawing>
          <wp:inline distT="0" distB="0" distL="0" distR="0" wp14:anchorId="1DA37F8D" wp14:editId="2460F501">
            <wp:extent cx="4705350" cy="115252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5350" cy="1152525"/>
                    </a:xfrm>
                    <a:prstGeom prst="rect">
                      <a:avLst/>
                    </a:prstGeom>
                    <a:noFill/>
                    <a:ln>
                      <a:noFill/>
                    </a:ln>
                  </pic:spPr>
                </pic:pic>
              </a:graphicData>
            </a:graphic>
          </wp:inline>
        </w:drawing>
      </w:r>
    </w:p>
    <w:p w14:paraId="438F3737" w14:textId="510906E4" w:rsidR="00F9261E" w:rsidRPr="0003254B" w:rsidRDefault="00F9261E" w:rsidP="0003254B">
      <w:pPr>
        <w:jc w:val="center"/>
        <w:rPr>
          <w:rFonts w:asciiTheme="minorHAnsi" w:eastAsia="Times New Roman" w:hAnsiTheme="minorHAnsi" w:cs="Times New Roman"/>
          <w:i/>
          <w:color w:val="000000"/>
          <w:sz w:val="20"/>
          <w:szCs w:val="20"/>
        </w:rPr>
      </w:pPr>
      <w:r w:rsidRPr="0003254B">
        <w:rPr>
          <w:rFonts w:asciiTheme="minorHAnsi" w:eastAsia="Times New Roman" w:hAnsiTheme="minorHAnsi" w:cs="Times New Roman"/>
          <w:b/>
          <w:i/>
          <w:color w:val="000000"/>
          <w:sz w:val="20"/>
          <w:szCs w:val="20"/>
        </w:rPr>
        <w:t>Fuente:</w:t>
      </w:r>
      <w:r w:rsidRPr="0003254B">
        <w:rPr>
          <w:rFonts w:asciiTheme="minorHAnsi" w:eastAsia="Times New Roman" w:hAnsiTheme="minorHAnsi" w:cs="Times New Roman"/>
          <w:i/>
          <w:color w:val="000000"/>
          <w:sz w:val="20"/>
          <w:szCs w:val="20"/>
        </w:rPr>
        <w:t xml:space="preserve"> Skytrax.</w:t>
      </w:r>
      <w:r w:rsidR="00C72DCF" w:rsidRPr="0003254B">
        <w:rPr>
          <w:rFonts w:asciiTheme="minorHAnsi" w:eastAsia="Times New Roman" w:hAnsiTheme="minorHAnsi" w:cs="Times New Roman"/>
          <w:i/>
          <w:color w:val="000000"/>
          <w:sz w:val="20"/>
          <w:szCs w:val="20"/>
        </w:rPr>
        <w:t xml:space="preserve"> (2016-2019).</w:t>
      </w:r>
    </w:p>
    <w:p w14:paraId="13E3582B" w14:textId="164ACC1F" w:rsidR="00C72DCF" w:rsidRPr="0003254B" w:rsidRDefault="00AE5758" w:rsidP="0003254B">
      <w:pPr>
        <w:pStyle w:val="Ttulo2"/>
        <w:jc w:val="center"/>
      </w:pPr>
      <w:bookmarkStart w:id="23" w:name="_Toc16859659"/>
      <w:bookmarkStart w:id="24" w:name="_Toc23443972"/>
      <w:r>
        <w:t>Tabla 4</w:t>
      </w:r>
      <w:r w:rsidR="00C72DCF">
        <w:t xml:space="preserve">. </w:t>
      </w:r>
      <w:r w:rsidR="00C72DCF" w:rsidRPr="00C72DCF">
        <w:t>Top 10 de Mejores Aeropuertos del mundo que transportan entre 30 y 40 millones de pasajeros al añ</w:t>
      </w:r>
      <w:bookmarkEnd w:id="23"/>
      <w:r w:rsidR="00C72DCF">
        <w:t>o.</w:t>
      </w:r>
      <w:bookmarkEnd w:id="24"/>
    </w:p>
    <w:tbl>
      <w:tblPr>
        <w:tblW w:w="7839" w:type="dxa"/>
        <w:tblCellMar>
          <w:left w:w="70" w:type="dxa"/>
          <w:right w:w="70" w:type="dxa"/>
        </w:tblCellMar>
        <w:tblLook w:val="04A0" w:firstRow="1" w:lastRow="0" w:firstColumn="1" w:lastColumn="0" w:noHBand="0" w:noVBand="1"/>
      </w:tblPr>
      <w:tblGrid>
        <w:gridCol w:w="7839"/>
      </w:tblGrid>
      <w:tr w:rsidR="00F9261E" w:rsidRPr="003D38C5" w14:paraId="61448B5E" w14:textId="77777777" w:rsidTr="00C72DCF">
        <w:trPr>
          <w:trHeight w:val="509"/>
        </w:trPr>
        <w:tc>
          <w:tcPr>
            <w:tcW w:w="7839" w:type="dxa"/>
            <w:vMerge w:val="restart"/>
            <w:tcBorders>
              <w:top w:val="nil"/>
              <w:left w:val="nil"/>
              <w:bottom w:val="nil"/>
              <w:right w:val="nil"/>
            </w:tcBorders>
            <w:shd w:val="clear" w:color="auto" w:fill="auto"/>
            <w:hideMark/>
          </w:tcPr>
          <w:p w14:paraId="68460541" w14:textId="45B8F078" w:rsidR="00F9261E" w:rsidRPr="00F9261E" w:rsidRDefault="00F9261E" w:rsidP="00F9261E">
            <w:r w:rsidRPr="003D38C5">
              <w:rPr>
                <w:bCs/>
                <w:noProof/>
                <w:sz w:val="24"/>
                <w:szCs w:val="24"/>
              </w:rPr>
              <w:drawing>
                <wp:anchor distT="0" distB="0" distL="114300" distR="114300" simplePos="0" relativeHeight="251664384" behindDoc="0" locked="0" layoutInCell="1" allowOverlap="1" wp14:anchorId="36A3E45B" wp14:editId="2CFEBF28">
                  <wp:simplePos x="0" y="0"/>
                  <wp:positionH relativeFrom="column">
                    <wp:posOffset>1883410</wp:posOffset>
                  </wp:positionH>
                  <wp:positionV relativeFrom="paragraph">
                    <wp:posOffset>0</wp:posOffset>
                  </wp:positionV>
                  <wp:extent cx="1743075" cy="2105025"/>
                  <wp:effectExtent l="0" t="0" r="9525" b="952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075" cy="2105025"/>
                          </a:xfrm>
                          <a:prstGeom prst="rect">
                            <a:avLst/>
                          </a:prstGeom>
                          <a:noFill/>
                          <a:ln>
                            <a:noFill/>
                          </a:ln>
                        </pic:spPr>
                      </pic:pic>
                    </a:graphicData>
                  </a:graphic>
                </wp:anchor>
              </w:drawing>
            </w:r>
          </w:p>
        </w:tc>
      </w:tr>
    </w:tbl>
    <w:p w14:paraId="71A5223C" w14:textId="33359AAA" w:rsidR="00F9261E" w:rsidRDefault="00F9261E" w:rsidP="00C72DCF">
      <w:pPr>
        <w:jc w:val="center"/>
      </w:pPr>
      <w:r w:rsidRPr="001A772E">
        <w:rPr>
          <w:rFonts w:ascii="Times New Roman" w:eastAsia="Times New Roman" w:hAnsi="Times New Roman" w:cs="Times New Roman"/>
          <w:b/>
          <w:color w:val="000000"/>
        </w:rPr>
        <w:t>Fuente:</w:t>
      </w:r>
      <w:r w:rsidRPr="001A772E">
        <w:rPr>
          <w:rFonts w:ascii="Times New Roman" w:eastAsia="Times New Roman" w:hAnsi="Times New Roman" w:cs="Times New Roman"/>
          <w:color w:val="000000"/>
        </w:rPr>
        <w:t xml:space="preserve"> Skytrax</w:t>
      </w:r>
      <w:r w:rsidR="00C72DCF">
        <w:rPr>
          <w:rFonts w:ascii="Times New Roman" w:eastAsia="Times New Roman" w:hAnsi="Times New Roman" w:cs="Times New Roman"/>
          <w:color w:val="000000"/>
        </w:rPr>
        <w:t xml:space="preserve">, 2019. </w:t>
      </w:r>
    </w:p>
    <w:p w14:paraId="5B19F03A" w14:textId="08A87EEB" w:rsidR="00166635" w:rsidRPr="00136C1C" w:rsidRDefault="00166635" w:rsidP="00166635">
      <w:pPr>
        <w:jc w:val="both"/>
        <w:rPr>
          <w:highlight w:val="green"/>
        </w:rPr>
      </w:pPr>
      <w:r>
        <w:t xml:space="preserve">Así mismo, Bogotá cuenta con una infraestructura de transporte que genera impactos positivos en la productividad como es el caso de </w:t>
      </w:r>
      <w:r w:rsidRPr="00166635">
        <w:t>Transmilenio. Un estudio reciente elaborado por investigadores del Banco Interamericano de Desarrollo, sugiere que el PIB de Bogotá aumentó 1.4% gracias a Transmilenio por los aportes a la productividad de la ciudad, reduciendo tiempos de desplazamiento, aumentando tiempo libre y mejorando la distribución de la fuerza d</w:t>
      </w:r>
      <w:r>
        <w:t>e trabajo y empresa entorno al</w:t>
      </w:r>
      <w:r w:rsidRPr="00166635">
        <w:t xml:space="preserve"> sistema de transporte masivo</w:t>
      </w:r>
      <w:r>
        <w:rPr>
          <w:rStyle w:val="Refdenotaalpie"/>
        </w:rPr>
        <w:footnoteReference w:id="6"/>
      </w:r>
      <w:r w:rsidRPr="00166635">
        <w:t xml:space="preserve">. </w:t>
      </w:r>
    </w:p>
    <w:p w14:paraId="71547DE3" w14:textId="77777777" w:rsidR="00332691" w:rsidRDefault="00332691" w:rsidP="00332691">
      <w:pPr>
        <w:spacing w:before="240" w:after="240"/>
        <w:jc w:val="both"/>
        <w:rPr>
          <w:rFonts w:ascii="Arial" w:eastAsia="Arial" w:hAnsi="Arial" w:cs="Arial"/>
          <w:sz w:val="24"/>
          <w:szCs w:val="24"/>
        </w:rPr>
      </w:pPr>
      <w:r>
        <w:t>La infraestructura de la ciudad le permite ser la mayor plataforma empresarial del país con más de 786 mil empresas con matrículas activas a diciembre de 2018, registrando 9% más empresas con respecto a diciembre del año anterior (2017), siendo el 93% de ellas microempresas, el 5.5% pequeñas, el 1.1% medianas y el 0.3% grandes, estando el 53% de estas constituidas como persona natural [2]</w:t>
      </w:r>
      <w:r>
        <w:rPr>
          <w:vertAlign w:val="superscript"/>
        </w:rPr>
        <w:footnoteReference w:id="7"/>
      </w:r>
      <w:r>
        <w:t>, evidenciando un nivel de escalamiento empresarial que puede ser fortalecido.</w:t>
      </w:r>
    </w:p>
    <w:p w14:paraId="516E7396" w14:textId="77777777" w:rsidR="00332691" w:rsidRDefault="00332691" w:rsidP="00332691">
      <w:pPr>
        <w:spacing w:before="240" w:after="240"/>
        <w:jc w:val="both"/>
      </w:pPr>
      <w:r>
        <w:lastRenderedPageBreak/>
        <w:t>Las actividades económicas predominantes se encuentran en el sector servicios con 43.8% y comercio con 31.1%, representando casi el 75% de las empresas con matrícula activa para diciembre de 2018.</w:t>
      </w:r>
    </w:p>
    <w:p w14:paraId="155520BB" w14:textId="1F995230" w:rsidR="00332691" w:rsidRDefault="00332691" w:rsidP="00332691">
      <w:pPr>
        <w:spacing w:before="240" w:after="240"/>
        <w:jc w:val="both"/>
      </w:pPr>
      <w:r>
        <w:t>Las localidades de la ciudad con mayor presencia empresarial son Suba (12,4%), Usaquén (10.3%), Kennedy (10.2%) y Chapinero (9.7%), concentrando el 42,6% de la actividad empresarial en Bogotá.</w:t>
      </w:r>
    </w:p>
    <w:p w14:paraId="654F94F0" w14:textId="1A29D74B" w:rsidR="00C72DCF" w:rsidRPr="00C72DCF" w:rsidRDefault="00C72DCF" w:rsidP="0003254B">
      <w:pPr>
        <w:pStyle w:val="Ttulo2"/>
        <w:jc w:val="center"/>
      </w:pPr>
      <w:bookmarkStart w:id="25" w:name="_Toc23443973"/>
      <w:r w:rsidRPr="002022F1">
        <w:t>Tabla 5. Empresas creadas según sector económico</w:t>
      </w:r>
      <w:r w:rsidR="00B03B0E" w:rsidRPr="002022F1">
        <w:t xml:space="preserve"> en el 2018</w:t>
      </w:r>
      <w:r w:rsidRPr="002022F1">
        <w:t>.</w:t>
      </w:r>
      <w:bookmarkEnd w:id="25"/>
    </w:p>
    <w:p w14:paraId="7DD5543C" w14:textId="77777777" w:rsidR="00332691" w:rsidRDefault="00332691" w:rsidP="00332691">
      <w:pPr>
        <w:spacing w:after="0"/>
        <w:jc w:val="center"/>
      </w:pPr>
      <w:r>
        <w:rPr>
          <w:noProof/>
        </w:rPr>
        <w:drawing>
          <wp:inline distT="0" distB="0" distL="0" distR="0" wp14:anchorId="2EB6BAF0" wp14:editId="332E449B">
            <wp:extent cx="3824288" cy="3168160"/>
            <wp:effectExtent l="0" t="0" r="0" b="0"/>
            <wp:docPr id="59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l="26646" t="14490" r="28205" b="18795"/>
                    <a:stretch>
                      <a:fillRect/>
                    </a:stretch>
                  </pic:blipFill>
                  <pic:spPr>
                    <a:xfrm>
                      <a:off x="0" y="0"/>
                      <a:ext cx="3824288" cy="3168160"/>
                    </a:xfrm>
                    <a:prstGeom prst="rect">
                      <a:avLst/>
                    </a:prstGeom>
                    <a:ln/>
                  </pic:spPr>
                </pic:pic>
              </a:graphicData>
            </a:graphic>
          </wp:inline>
        </w:drawing>
      </w:r>
    </w:p>
    <w:p w14:paraId="69160853" w14:textId="4947AA83" w:rsidR="00166635" w:rsidRPr="00C72DCF" w:rsidRDefault="00332691" w:rsidP="00C72DCF">
      <w:pPr>
        <w:spacing w:before="240" w:after="0"/>
        <w:jc w:val="center"/>
        <w:rPr>
          <w:sz w:val="20"/>
          <w:szCs w:val="20"/>
        </w:rPr>
      </w:pPr>
      <w:r w:rsidRPr="00C72DCF">
        <w:rPr>
          <w:b/>
          <w:i/>
          <w:sz w:val="20"/>
          <w:szCs w:val="20"/>
        </w:rPr>
        <w:t>Fuente</w:t>
      </w:r>
      <w:r w:rsidR="0003254B" w:rsidRPr="00C72DCF">
        <w:rPr>
          <w:b/>
          <w:i/>
          <w:sz w:val="20"/>
          <w:szCs w:val="20"/>
        </w:rPr>
        <w:t>:</w:t>
      </w:r>
      <w:r w:rsidR="0003254B" w:rsidRPr="00C72DCF">
        <w:rPr>
          <w:i/>
          <w:sz w:val="20"/>
          <w:szCs w:val="20"/>
        </w:rPr>
        <w:t xml:space="preserve"> Dirección</w:t>
      </w:r>
      <w:r w:rsidRPr="00C72DCF">
        <w:rPr>
          <w:i/>
          <w:sz w:val="20"/>
          <w:szCs w:val="20"/>
        </w:rPr>
        <w:t xml:space="preserve"> de Gestión de Conocimiento de la Cámara de Comercio de Bogotá, (2018b).</w:t>
      </w:r>
    </w:p>
    <w:p w14:paraId="49AFEB25" w14:textId="674CBA17" w:rsidR="000A7CAF" w:rsidRDefault="006E3A8E" w:rsidP="006602E4">
      <w:pPr>
        <w:spacing w:before="240" w:after="0"/>
        <w:jc w:val="both"/>
      </w:pPr>
      <w:r>
        <w:t>Hoy los mercados y las tendencias de consumo plantean oportunidades en donde Bogotá puede jalonar mayor crecimiento, innovación y generación de empleo a través de buena parte de su identidad como lo es su creatividad.</w:t>
      </w:r>
      <w:r w:rsidR="00166635">
        <w:t xml:space="preserve"> La UNESCO declaró a Bogotá como una ciudad creativa.</w:t>
      </w:r>
      <w:r>
        <w:t xml:space="preserve"> La</w:t>
      </w:r>
      <w:r w:rsidR="006602E4">
        <w:t xml:space="preserve"> ciudad concentra el 92% de los servicios creativos, el 90% de las productoras audiovisuales, 73% de las empresas de contenidos digitales, 55% de los estudios de videojuegos, 65% de las empresas de comunicación gráfica, el 40% de la industria de música en vivo y el 40% del mercado de la moda del país (Cámara de Comercio de Bogotá, 2018-2019). </w:t>
      </w:r>
    </w:p>
    <w:p w14:paraId="058BF32E" w14:textId="4D8E9937" w:rsidR="00166635" w:rsidRDefault="000256A1" w:rsidP="006602E4">
      <w:pPr>
        <w:spacing w:before="240" w:after="0"/>
        <w:jc w:val="both"/>
      </w:pPr>
      <w:r>
        <w:t xml:space="preserve">Sobre estos sectores, la ciudad cuenta con iniciativas que potencializan los empresarios y emprendedores de la industria creativa. </w:t>
      </w:r>
      <w:r w:rsidR="00705B98">
        <w:t>Plataformas públicas</w:t>
      </w:r>
      <w:r>
        <w:t xml:space="preserve"> como los festivales al parque, y plataformas privadas como ArtBo, BAM, BFW, BOMM, Festival Estereopicnic, Alimentarte, INDIEBO, BIFF, entre otros.</w:t>
      </w:r>
    </w:p>
    <w:p w14:paraId="66AA5346" w14:textId="00112D5D" w:rsidR="00BF7A23" w:rsidRDefault="00BF7A23" w:rsidP="006602E4">
      <w:pPr>
        <w:spacing w:before="240" w:after="0"/>
        <w:jc w:val="both"/>
      </w:pPr>
      <w:r>
        <w:lastRenderedPageBreak/>
        <w:t>Así mismo, en la última medición realizada por el DANE, en la Cuenta Satélite de Cultura y Economía Creativa de Bogotá, el valor agregado del sector su</w:t>
      </w:r>
      <w:r w:rsidR="000256A1">
        <w:t xml:space="preserve">pera los 11.8 billones de pesos, demostrando así su relevancia económica para la ciudad y el país. </w:t>
      </w:r>
    </w:p>
    <w:p w14:paraId="5F808C69" w14:textId="77777777" w:rsidR="00B03B0E" w:rsidRDefault="00B03B0E" w:rsidP="006602E4">
      <w:pPr>
        <w:spacing w:before="240" w:after="0"/>
        <w:jc w:val="both"/>
      </w:pPr>
    </w:p>
    <w:p w14:paraId="57433F45" w14:textId="77777777" w:rsidR="00B03B0E" w:rsidRDefault="00B03B0E" w:rsidP="006602E4">
      <w:pPr>
        <w:spacing w:before="240" w:after="0"/>
        <w:jc w:val="both"/>
      </w:pPr>
    </w:p>
    <w:p w14:paraId="49DF0CA3" w14:textId="77777777" w:rsidR="00B03B0E" w:rsidRDefault="00B03B0E" w:rsidP="006602E4">
      <w:pPr>
        <w:spacing w:before="240" w:after="0"/>
        <w:jc w:val="both"/>
      </w:pPr>
    </w:p>
    <w:p w14:paraId="0CF4A980" w14:textId="3C801EC9" w:rsidR="00B03B0E" w:rsidRPr="002022F1" w:rsidRDefault="00B03B0E" w:rsidP="00B03B0E">
      <w:pPr>
        <w:pStyle w:val="Ttulo2"/>
        <w:jc w:val="center"/>
      </w:pPr>
      <w:bookmarkStart w:id="26" w:name="_Toc23443974"/>
      <w:r w:rsidRPr="002022F1">
        <w:t>Tabla 6. Cuenta Satélite de Cultura y Económica Creativa en Bogotá</w:t>
      </w:r>
      <w:bookmarkEnd w:id="26"/>
    </w:p>
    <w:p w14:paraId="287E5BE8" w14:textId="18CF851B" w:rsidR="00BF7A23" w:rsidRDefault="00BF7A23" w:rsidP="009C48F9">
      <w:pPr>
        <w:spacing w:before="240" w:after="0"/>
        <w:jc w:val="center"/>
      </w:pPr>
      <w:r w:rsidRPr="00BF7A23">
        <w:rPr>
          <w:noProof/>
        </w:rPr>
        <w:drawing>
          <wp:inline distT="0" distB="0" distL="0" distR="0" wp14:anchorId="3DB44A93" wp14:editId="7F4569D8">
            <wp:extent cx="4572000" cy="2585387"/>
            <wp:effectExtent l="0" t="0" r="0" b="5715"/>
            <wp:docPr id="30" name="Imagen 30" descr="C:\Users\jduarte\Downloads\PHOTO-2019-09-26-12-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uarte\Downloads\PHOTO-2019-09-26-12-14-0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0088" cy="2589961"/>
                    </a:xfrm>
                    <a:prstGeom prst="rect">
                      <a:avLst/>
                    </a:prstGeom>
                    <a:noFill/>
                    <a:ln>
                      <a:noFill/>
                    </a:ln>
                  </pic:spPr>
                </pic:pic>
              </a:graphicData>
            </a:graphic>
          </wp:inline>
        </w:drawing>
      </w:r>
    </w:p>
    <w:p w14:paraId="24FA7570" w14:textId="1DFA630D" w:rsidR="009C48F9" w:rsidRDefault="00AD5E8D" w:rsidP="00AD5E8D">
      <w:pPr>
        <w:spacing w:before="240" w:after="0"/>
        <w:jc w:val="center"/>
        <w:rPr>
          <w:sz w:val="20"/>
          <w:szCs w:val="20"/>
        </w:rPr>
      </w:pPr>
      <w:r w:rsidRPr="00AD5E8D">
        <w:rPr>
          <w:b/>
          <w:sz w:val="20"/>
          <w:szCs w:val="20"/>
        </w:rPr>
        <w:t>Fuente:</w:t>
      </w:r>
      <w:r w:rsidRPr="00AD5E8D">
        <w:rPr>
          <w:sz w:val="20"/>
          <w:szCs w:val="20"/>
        </w:rPr>
        <w:t xml:space="preserve"> </w:t>
      </w:r>
      <w:r w:rsidRPr="00AD5E8D">
        <w:rPr>
          <w:i/>
          <w:sz w:val="20"/>
          <w:szCs w:val="20"/>
        </w:rPr>
        <w:t xml:space="preserve">DANE. Elaboración ODEB. </w:t>
      </w:r>
    </w:p>
    <w:p w14:paraId="29B6AAFD" w14:textId="77777777" w:rsidR="00AD5E8D" w:rsidRPr="00AD5E8D" w:rsidRDefault="00AD5E8D" w:rsidP="00AD5E8D">
      <w:pPr>
        <w:spacing w:before="240" w:after="0"/>
        <w:jc w:val="center"/>
        <w:rPr>
          <w:sz w:val="20"/>
          <w:szCs w:val="20"/>
        </w:rPr>
      </w:pPr>
    </w:p>
    <w:p w14:paraId="2BEC0947" w14:textId="6CE75A8C" w:rsidR="00BF7A23" w:rsidRDefault="006602E4">
      <w:pPr>
        <w:spacing w:after="0"/>
        <w:jc w:val="both"/>
      </w:pPr>
      <w:r>
        <w:t xml:space="preserve">Por su parte, Bogotá también </w:t>
      </w:r>
      <w:r w:rsidR="00BF7A23">
        <w:t xml:space="preserve">en su reto de propiciar mayor productividad e innovación en sus sectores productivos también </w:t>
      </w:r>
      <w:r>
        <w:t xml:space="preserve">ha impulsado </w:t>
      </w:r>
      <w:r w:rsidR="00705B98">
        <w:t>diferentes clústeres</w:t>
      </w:r>
      <w:r>
        <w:t xml:space="preserve"> </w:t>
      </w:r>
      <w:r w:rsidR="000256A1">
        <w:t xml:space="preserve">como </w:t>
      </w:r>
      <w:r w:rsidR="00BF7A23">
        <w:t>en la</w:t>
      </w:r>
      <w:r>
        <w:t xml:space="preserve"> “Zona C” o “</w:t>
      </w:r>
      <w:r w:rsidR="00705B98">
        <w:t>Clúster</w:t>
      </w:r>
      <w:r>
        <w:t xml:space="preserve"> de la Candelaria”</w:t>
      </w:r>
      <w:r w:rsidR="00BF7A23">
        <w:t xml:space="preserve">, sobre la cuál en esta administración desde el Instituto Distrital de Turismo, propiciamos con el gobierno nacional y la localidad de la Candelaria, la primera certificación nacional como destino turístico sostenible en el Centro Histórico. </w:t>
      </w:r>
      <w:r>
        <w:t xml:space="preserve"> </w:t>
      </w:r>
    </w:p>
    <w:p w14:paraId="48AC30DA" w14:textId="77777777" w:rsidR="00BF7A23" w:rsidRDefault="00BF7A23">
      <w:pPr>
        <w:spacing w:after="0"/>
        <w:jc w:val="both"/>
      </w:pPr>
    </w:p>
    <w:p w14:paraId="591FE097" w14:textId="00A0C127" w:rsidR="000A7CAF" w:rsidRDefault="006B0AD6">
      <w:pPr>
        <w:spacing w:after="0"/>
        <w:jc w:val="both"/>
      </w:pPr>
      <w:r>
        <w:t xml:space="preserve">Se ha propendido por un trabajo en zonas comerciales y productoras de relevancia como </w:t>
      </w:r>
      <w:r w:rsidR="000256A1">
        <w:t xml:space="preserve">es </w:t>
      </w:r>
      <w:r>
        <w:t xml:space="preserve">el caso del 12 de </w:t>
      </w:r>
      <w:r w:rsidR="00705B98">
        <w:t>octubre</w:t>
      </w:r>
      <w:r>
        <w:t>, el Restrepo y la zona de influencia de Transmicable en Ciudad Bolívar. Y t</w:t>
      </w:r>
      <w:r w:rsidR="00BF7A23">
        <w:t xml:space="preserve">ambién se han </w:t>
      </w:r>
      <w:r w:rsidR="00705B98">
        <w:t>trabajado iniciativas</w:t>
      </w:r>
      <w:r w:rsidR="006602E4">
        <w:t xml:space="preserve"> de clúster</w:t>
      </w:r>
      <w:r w:rsidR="009C48F9">
        <w:t xml:space="preserve"> </w:t>
      </w:r>
      <w:r>
        <w:t>en el marco de la estrategia de especialización inteligente con</w:t>
      </w:r>
      <w:r w:rsidR="006602E4">
        <w:t>:</w:t>
      </w:r>
    </w:p>
    <w:p w14:paraId="36F7EDA7" w14:textId="77777777" w:rsidR="000A7CAF" w:rsidRDefault="006602E4" w:rsidP="009C48F9">
      <w:pPr>
        <w:numPr>
          <w:ilvl w:val="0"/>
          <w:numId w:val="6"/>
        </w:numPr>
        <w:spacing w:after="0" w:line="259" w:lineRule="auto"/>
        <w:jc w:val="both"/>
      </w:pPr>
      <w:r>
        <w:lastRenderedPageBreak/>
        <w:t>Bogotá Región Creativa: clúster</w:t>
      </w:r>
      <w:r>
        <w:rPr>
          <w:vertAlign w:val="superscript"/>
        </w:rPr>
        <w:footnoteReference w:id="8"/>
      </w:r>
      <w:r>
        <w:t xml:space="preserve"> de industrias creativas, clúster de comunicación gráfica, clúster de prendas de vestir, clúster de gastronomía, clúster de música, clúster de cuero, calzado y marroquinería y clúster joyería y bisutería.</w:t>
      </w:r>
    </w:p>
    <w:p w14:paraId="6064EF9D" w14:textId="77777777" w:rsidR="000A7CAF" w:rsidRDefault="006602E4" w:rsidP="009C48F9">
      <w:pPr>
        <w:numPr>
          <w:ilvl w:val="0"/>
          <w:numId w:val="6"/>
        </w:numPr>
        <w:spacing w:after="0" w:line="259" w:lineRule="auto"/>
        <w:jc w:val="both"/>
      </w:pPr>
      <w:r>
        <w:t>Bio-Polo: clúster de salud, clúster de lácteos, clúster de cosméticos y clúster de farmacéuticos.</w:t>
      </w:r>
    </w:p>
    <w:p w14:paraId="1B4952F9" w14:textId="77777777" w:rsidR="000A7CAF" w:rsidRDefault="006602E4" w:rsidP="009C48F9">
      <w:pPr>
        <w:numPr>
          <w:ilvl w:val="0"/>
          <w:numId w:val="6"/>
        </w:numPr>
        <w:spacing w:after="0" w:line="259" w:lineRule="auto"/>
        <w:jc w:val="both"/>
      </w:pPr>
      <w:r>
        <w:t>Servicios empresariales: clúster de turismo de negocios y eventos, clúster de software y TI y clúster de servicios financieros.</w:t>
      </w:r>
    </w:p>
    <w:p w14:paraId="6700D460" w14:textId="77777777" w:rsidR="000A7CAF" w:rsidRDefault="006602E4" w:rsidP="009C48F9">
      <w:pPr>
        <w:numPr>
          <w:ilvl w:val="0"/>
          <w:numId w:val="6"/>
        </w:numPr>
        <w:spacing w:after="0" w:line="259" w:lineRule="auto"/>
        <w:jc w:val="both"/>
      </w:pPr>
      <w:r>
        <w:t>HUB de conocimiento avanzado</w:t>
      </w:r>
    </w:p>
    <w:p w14:paraId="25E05060" w14:textId="77777777" w:rsidR="000A7CAF" w:rsidRDefault="006602E4" w:rsidP="009C48F9">
      <w:pPr>
        <w:numPr>
          <w:ilvl w:val="0"/>
          <w:numId w:val="6"/>
        </w:numPr>
        <w:spacing w:after="0" w:line="259" w:lineRule="auto"/>
        <w:jc w:val="both"/>
      </w:pPr>
      <w:r>
        <w:t>Ciudad Región Sostenible: clúster de energía eléctrica y clúster de construcción.</w:t>
      </w:r>
    </w:p>
    <w:p w14:paraId="3AA1499A" w14:textId="77777777" w:rsidR="009C48F9" w:rsidRDefault="009C48F9">
      <w:pPr>
        <w:spacing w:after="0"/>
        <w:jc w:val="both"/>
      </w:pPr>
    </w:p>
    <w:p w14:paraId="4B01A543" w14:textId="2B096233" w:rsidR="006E3A8E" w:rsidRDefault="006602E4">
      <w:pPr>
        <w:spacing w:after="0"/>
        <w:jc w:val="both"/>
      </w:pPr>
      <w:r>
        <w:t xml:space="preserve">Sin embargo, </w:t>
      </w:r>
      <w:r w:rsidR="000256A1">
        <w:t xml:space="preserve">la administración se encontró con distintos problemas y retos asociados a </w:t>
      </w:r>
      <w:r>
        <w:t>la consolidación del ecosistema de emprendimiento</w:t>
      </w:r>
      <w:r w:rsidR="000256A1">
        <w:t xml:space="preserve"> de base tecnológica y creativa</w:t>
      </w:r>
      <w:r>
        <w:t>, derivado del i) desconocimiento que tienen los emprendedores de la dinámica del emprendimiento de Bogotá</w:t>
      </w:r>
      <w:r w:rsidR="006E3A8E">
        <w:t xml:space="preserve"> y la oferta nacional, distrital, pública y privada para apoyarlos</w:t>
      </w:r>
      <w:r>
        <w:t>; ii) la prevalencia de factores de corto plazo como financiamiento o asesorías cortas por parte de los beneficiarios de programas de emprendimiento; iii) el bajo nivel educativo de la población emprendedora, en un alto número de los casos</w:t>
      </w:r>
      <w:r w:rsidR="006E3A8E">
        <w:t xml:space="preserve"> aunque viene mejorando como se registra en el último GEM 2018</w:t>
      </w:r>
      <w:r>
        <w:t>; iv) la existencia de trámites costosos y dispendiosos para la creación d</w:t>
      </w:r>
      <w:r w:rsidR="000256A1">
        <w:t>e empresa,</w:t>
      </w:r>
      <w:r>
        <w:t xml:space="preserve"> la urgencia de diferenciar el emprendimiento por necesidad del emprendimiento por oportunidad y de potenciar el emprendimiento de base tecnológica. </w:t>
      </w:r>
    </w:p>
    <w:p w14:paraId="2209184B" w14:textId="61F9DB6F" w:rsidR="000256A1" w:rsidRDefault="000256A1">
      <w:pPr>
        <w:spacing w:after="0"/>
        <w:jc w:val="both"/>
      </w:pPr>
    </w:p>
    <w:p w14:paraId="168D52CB" w14:textId="77777777" w:rsidR="000256A1" w:rsidRDefault="006602E4">
      <w:pPr>
        <w:spacing w:after="0"/>
        <w:jc w:val="both"/>
      </w:pPr>
      <w:r>
        <w:t xml:space="preserve">Es así como en 2018 fue creado el Fondo de Innovación e Industrias Creativas (FITIC), </w:t>
      </w:r>
      <w:r w:rsidR="000256A1">
        <w:t xml:space="preserve"> gracias al Plan de Desarrollo Distrital 2016-2020, </w:t>
      </w:r>
      <w:r>
        <w:t>el primero en el país que integraba el fomento a la innovación en el sector productivo de la ciudad, la promoción del emprendimiento con un alto componente innovador, y el apoyo a proyectos de ciudad promovido por los actores de los ecosistemas de</w:t>
      </w:r>
      <w:r w:rsidR="000256A1">
        <w:t xml:space="preserve"> emprendimiento y de innovación</w:t>
      </w:r>
      <w:r>
        <w:t xml:space="preserve"> orientados a la diversificación de la oferta exportable y la generación de empleo de manera sostenible. </w:t>
      </w:r>
    </w:p>
    <w:p w14:paraId="6315EAEA" w14:textId="77777777" w:rsidR="000256A1" w:rsidRDefault="000256A1">
      <w:pPr>
        <w:spacing w:after="0"/>
        <w:jc w:val="both"/>
      </w:pPr>
    </w:p>
    <w:p w14:paraId="05B3EAB6" w14:textId="286C701E" w:rsidR="000A7CAF" w:rsidRDefault="006602E4">
      <w:pPr>
        <w:spacing w:after="0"/>
        <w:jc w:val="both"/>
      </w:pPr>
      <w:r>
        <w:t xml:space="preserve">Actualmente, con una inversión de la Alcaldía por </w:t>
      </w:r>
      <w:r w:rsidR="006B0AD6">
        <w:t xml:space="preserve">cerca de </w:t>
      </w:r>
      <w:r>
        <w:t>$</w:t>
      </w:r>
      <w:r w:rsidR="006E3A8E">
        <w:t>16.000</w:t>
      </w:r>
      <w:r>
        <w:t xml:space="preserve"> millones, se han podido apalancar </w:t>
      </w:r>
      <w:r w:rsidR="006B0AD6">
        <w:t xml:space="preserve">un total de </w:t>
      </w:r>
      <w:r>
        <w:t xml:space="preserve">$19.000 millones de pesos y otros $30.900 millones de pesos por desembolsar, con empresas, aliados, y el gobierno nacional, permitiendo beneficiar a 243 empresas a través de 7 programas con las siguientes características: </w:t>
      </w:r>
    </w:p>
    <w:p w14:paraId="623FF18D" w14:textId="77777777" w:rsidR="000A7CAF" w:rsidRDefault="006602E4">
      <w:pPr>
        <w:spacing w:after="0"/>
        <w:jc w:val="both"/>
      </w:pPr>
      <w:r>
        <w:t>•</w:t>
      </w:r>
      <w:r>
        <w:tab/>
        <w:t>Diversidad en los mecanismos de apoyo: cofinanciación, crédito, y garantías.</w:t>
      </w:r>
    </w:p>
    <w:p w14:paraId="4A229938" w14:textId="77777777" w:rsidR="000A7CAF" w:rsidRDefault="006602E4">
      <w:pPr>
        <w:spacing w:after="0"/>
        <w:jc w:val="both"/>
      </w:pPr>
      <w:r>
        <w:t>•</w:t>
      </w:r>
      <w:r>
        <w:tab/>
        <w:t>Articulación con actores de los ecosistemas de emprendimiento y de innovación de la ciudad que pudieran apalancar los recursos de la SDDE.</w:t>
      </w:r>
    </w:p>
    <w:p w14:paraId="2C5CE1DF" w14:textId="77777777" w:rsidR="000A7CAF" w:rsidRDefault="006602E4">
      <w:pPr>
        <w:spacing w:after="0"/>
        <w:jc w:val="both"/>
      </w:pPr>
      <w:r>
        <w:lastRenderedPageBreak/>
        <w:t>•</w:t>
      </w:r>
      <w:r>
        <w:tab/>
        <w:t>Priorización a la promoción a la industria 4.0: en la adopción de tecnologías por parte del sector productivo y en la generación de una industria soporte que genere productos o servicios basados en estas tecnologías.</w:t>
      </w:r>
    </w:p>
    <w:p w14:paraId="0251EA67" w14:textId="77777777" w:rsidR="000A7CAF" w:rsidRDefault="006602E4">
      <w:pPr>
        <w:spacing w:after="0"/>
        <w:jc w:val="both"/>
      </w:pPr>
      <w:r>
        <w:t>•</w:t>
      </w:r>
      <w:r>
        <w:tab/>
        <w:t>Acompañamiento especializado por actores de los ecosistemas de desarrollo empresarial de la ciudad para lograr los objetivos esperados.</w:t>
      </w:r>
    </w:p>
    <w:p w14:paraId="1B9A2259" w14:textId="0E3F5596" w:rsidR="000A7CAF" w:rsidRDefault="006602E4">
      <w:pPr>
        <w:spacing w:after="0"/>
        <w:jc w:val="both"/>
      </w:pPr>
      <w:r>
        <w:t>•</w:t>
      </w:r>
      <w:r>
        <w:tab/>
      </w:r>
      <w:r w:rsidR="00332691">
        <w:t>Proyectos con objetivos de</w:t>
      </w:r>
      <w:r>
        <w:t xml:space="preserve"> mejoramiento de la productividad, mejoramiento de la experiencia del cliente, mayores ventas, nuevos productos o servicios, o incrementos en la rentabilidad.</w:t>
      </w:r>
    </w:p>
    <w:p w14:paraId="1155C229" w14:textId="77777777" w:rsidR="000A7CAF" w:rsidRDefault="000A7CAF">
      <w:pPr>
        <w:spacing w:after="0"/>
        <w:jc w:val="both"/>
      </w:pPr>
    </w:p>
    <w:p w14:paraId="4152D16B" w14:textId="77777777" w:rsidR="00B03B0E" w:rsidRDefault="00B03B0E">
      <w:pPr>
        <w:spacing w:after="0"/>
        <w:jc w:val="both"/>
      </w:pPr>
    </w:p>
    <w:p w14:paraId="2138CC0A" w14:textId="77777777" w:rsidR="00B03B0E" w:rsidRDefault="00B03B0E">
      <w:pPr>
        <w:spacing w:after="0"/>
        <w:jc w:val="both"/>
      </w:pPr>
    </w:p>
    <w:p w14:paraId="5D653EC7" w14:textId="77777777" w:rsidR="0003254B" w:rsidRDefault="0003254B" w:rsidP="008232B3">
      <w:pPr>
        <w:pStyle w:val="Ttulo2"/>
      </w:pPr>
    </w:p>
    <w:p w14:paraId="42C20744" w14:textId="1026344F" w:rsidR="008B6F64" w:rsidRDefault="00EA61D4" w:rsidP="0003254B">
      <w:pPr>
        <w:pStyle w:val="Ttulo2"/>
      </w:pPr>
      <w:bookmarkStart w:id="27" w:name="_Toc23443975"/>
      <w:r w:rsidRPr="008232B3">
        <w:t>1.</w:t>
      </w:r>
      <w:r w:rsidR="008B6F64" w:rsidRPr="008232B3">
        <w:t>4</w:t>
      </w:r>
      <w:r w:rsidRPr="008232B3">
        <w:t>.</w:t>
      </w:r>
      <w:r w:rsidR="009627E7" w:rsidRPr="008232B3">
        <w:t xml:space="preserve"> </w:t>
      </w:r>
      <w:r w:rsidR="009A5C93" w:rsidRPr="008232B3">
        <w:t>Bajo</w:t>
      </w:r>
      <w:r w:rsidR="006602E4" w:rsidRPr="008232B3">
        <w:t xml:space="preserve"> posicionamiento nacional e internacional</w:t>
      </w:r>
      <w:bookmarkEnd w:id="27"/>
      <w:r w:rsidR="006602E4" w:rsidRPr="008232B3">
        <w:t xml:space="preserve"> </w:t>
      </w:r>
    </w:p>
    <w:p w14:paraId="24B17046" w14:textId="77777777" w:rsidR="0003254B" w:rsidRPr="0003254B" w:rsidRDefault="0003254B" w:rsidP="0003254B"/>
    <w:p w14:paraId="5C77E298" w14:textId="67365320" w:rsidR="008B6F64" w:rsidRDefault="006602E4">
      <w:pPr>
        <w:jc w:val="both"/>
      </w:pPr>
      <w:r>
        <w:t>Bogotá</w:t>
      </w:r>
      <w:r w:rsidR="009A5C93">
        <w:t xml:space="preserve">, no se encontraba posicionada a nivel nacional e internacional, viendo esto no como un problema en </w:t>
      </w:r>
      <w:r w:rsidR="00EF6998">
        <w:t>sí</w:t>
      </w:r>
      <w:r w:rsidR="009A5C93">
        <w:t xml:space="preserve"> mismo, sino como una oportunidad de mejora que genera externalidades positivas </w:t>
      </w:r>
      <w:r w:rsidR="008B6F64">
        <w:t>que</w:t>
      </w:r>
      <w:r w:rsidR="009A5C93">
        <w:t xml:space="preserve"> solucionan problemas asociados al desempleo o la b</w:t>
      </w:r>
      <w:r w:rsidR="008B6F64">
        <w:t>aja competitividad empresarial, cómo mayor turismo e inversión extranjera. Hoy</w:t>
      </w:r>
      <w:r w:rsidR="00314EC9">
        <w:t xml:space="preserve"> gracias a una estrategia de promoción, Bogotá</w:t>
      </w:r>
      <w:r w:rsidR="008B6F64">
        <w:t xml:space="preserve"> hace parte de los principales rankings internacionales y </w:t>
      </w:r>
      <w:r w:rsidR="00314EC9">
        <w:t>es un destino atractivo para la inversión y el turismo.</w:t>
      </w:r>
    </w:p>
    <w:p w14:paraId="59EB2A64" w14:textId="136DF425" w:rsidR="000A7CAF" w:rsidRDefault="00314EC9">
      <w:pPr>
        <w:jc w:val="both"/>
      </w:pPr>
      <w:r>
        <w:t xml:space="preserve">Prueba de ello es que Bogotá es la ciudad más visitada del país. También según un estudio reciente de Master Card, la ciudad es el cuarto destino turístico más visitado por turistas internacionales en América Latina. Es así mismo la quinta ciudad según el ranking ICCA que más congresos, incentivos, y reuniones realiza en América Latina. En cuanto a inversión, es la tercera ciudad del futuro según el Fdi del financial times. </w:t>
      </w:r>
    </w:p>
    <w:p w14:paraId="0A2B2BE2" w14:textId="3555720D" w:rsidR="000A7CAF" w:rsidRDefault="00314EC9">
      <w:pPr>
        <w:jc w:val="both"/>
      </w:pPr>
      <w:r>
        <w:t xml:space="preserve">El posicionamiento de Bogotá se complementa con </w:t>
      </w:r>
      <w:r w:rsidR="006602E4">
        <w:t xml:space="preserve">la Ruta Exportadora </w:t>
      </w:r>
      <w:r>
        <w:t xml:space="preserve">implementada desde la SDDE. A </w:t>
      </w:r>
      <w:r w:rsidR="00736087">
        <w:t xml:space="preserve">través de </w:t>
      </w:r>
      <w:r w:rsidR="00255D25">
        <w:t>esta iniciativa</w:t>
      </w:r>
      <w:r w:rsidR="00736087">
        <w:t xml:space="preserve"> </w:t>
      </w:r>
      <w:r w:rsidR="00255D25">
        <w:t xml:space="preserve">se han beneficiado </w:t>
      </w:r>
      <w:r w:rsidR="00736087">
        <w:t>cerca de 170</w:t>
      </w:r>
      <w:r w:rsidR="006602E4">
        <w:t xml:space="preserve"> empresarios y se han ca</w:t>
      </w:r>
      <w:r w:rsidR="00255D25">
        <w:t xml:space="preserve">pacitado a más de 330 empresarios en la ciudad. </w:t>
      </w:r>
      <w:r w:rsidR="006602E4">
        <w:t xml:space="preserve"> </w:t>
      </w:r>
    </w:p>
    <w:p w14:paraId="577909EF" w14:textId="616C34A6" w:rsidR="000A7CAF" w:rsidRDefault="006602E4">
      <w:pPr>
        <w:jc w:val="both"/>
      </w:pPr>
      <w:r>
        <w:t>En el contexto de la cooperación internacional,</w:t>
      </w:r>
      <w:r w:rsidR="00736087">
        <w:t xml:space="preserve"> teniendo en cuenta la desconexión con las Embajadas y organismos multilaterales,</w:t>
      </w:r>
      <w:r>
        <w:t xml:space="preserve"> se estructuró una agenda de relacionamiento con entidades de cooperación internacional, teniendo en cuenta las necesidades institucionales transversales de la SDDE. Se han adelantado </w:t>
      </w:r>
      <w:r w:rsidR="00255D25">
        <w:t>relaciones comerciales y de cooperación con</w:t>
      </w:r>
      <w:r>
        <w:t xml:space="preserve"> países</w:t>
      </w:r>
      <w:r w:rsidR="00255D25">
        <w:t xml:space="preserve"> como Brasil</w:t>
      </w:r>
      <w:r>
        <w:t>, Canadá, Chile, China, Corea, España, Estados Unidos, Holanda, Israel, Italia, Japón, Perú, Portugal</w:t>
      </w:r>
      <w:r w:rsidR="00255D25">
        <w:t>, Suecia, Francia, Tailandia</w:t>
      </w:r>
      <w:r>
        <w:t xml:space="preserve">, </w:t>
      </w:r>
      <w:r w:rsidR="00255D25">
        <w:t>para incrementar</w:t>
      </w:r>
      <w:r>
        <w:t xml:space="preserve"> la oferta exportable e inversión extranjera en la ciudad</w:t>
      </w:r>
      <w:r w:rsidR="00255D25">
        <w:t>.</w:t>
      </w:r>
    </w:p>
    <w:p w14:paraId="442A7C89" w14:textId="0DD8F76A" w:rsidR="000A7CAF" w:rsidRDefault="006602E4">
      <w:pPr>
        <w:jc w:val="both"/>
      </w:pPr>
      <w:r>
        <w:t xml:space="preserve">Del mismo modo, </w:t>
      </w:r>
      <w:r w:rsidR="00736087">
        <w:t>se debe</w:t>
      </w:r>
      <w:r>
        <w:t xml:space="preserve"> </w:t>
      </w:r>
      <w:r w:rsidR="00255D25">
        <w:t xml:space="preserve">continuar los esfuerzos para </w:t>
      </w:r>
      <w:r>
        <w:t xml:space="preserve">fortalecer el conocimiento de los requerimientos técnicos de bienes y servicios demandados en el exterior. Así como el conocimiento </w:t>
      </w:r>
      <w:r>
        <w:lastRenderedPageBreak/>
        <w:t xml:space="preserve">técnico en los trámites para realizar exportaciones para que los </w:t>
      </w:r>
      <w:r w:rsidR="00736087">
        <w:t>empresarios tengan</w:t>
      </w:r>
      <w:r>
        <w:t xml:space="preserve"> información al respecto de los acuerdos o tratados internacionales que puedan beneficiar a la empresa</w:t>
      </w:r>
      <w:r w:rsidR="00736087">
        <w:t>.</w:t>
      </w:r>
    </w:p>
    <w:p w14:paraId="3E015B59" w14:textId="0B42CDBA" w:rsidR="000A7CAF" w:rsidRDefault="006602E4">
      <w:pPr>
        <w:jc w:val="both"/>
      </w:pPr>
      <w:r>
        <w:t>Analizando el crecimiento y posicionamiento de la capital desde otro ámbito, las exportaciones llegaron a USD 4.217 millones, es decir un 10,9% más que en el 2017 y las exportaciones industriales representaron el 66% dentro de este rubro</w:t>
      </w:r>
      <w:r w:rsidR="00255D25">
        <w:t>.</w:t>
      </w:r>
      <w:r>
        <w:t xml:space="preserve"> </w:t>
      </w:r>
    </w:p>
    <w:p w14:paraId="04DD9C47" w14:textId="3B1F9DEE" w:rsidR="000A4D6B" w:rsidRDefault="000A4D6B" w:rsidP="000A4D6B">
      <w:pPr>
        <w:spacing w:before="240" w:after="0"/>
        <w:jc w:val="both"/>
      </w:pPr>
      <w:r>
        <w:t>Como complemento a la estrategia de promoción de exportaciones, se vio la necesidad de desarrollar una agenda de encuentros comerciales con compradores internacionales que permitiera generar un mayor acceso a mercados nacionales e internacionales a los productores de Bogotá. Para el 2019, hemos facilitado el contacto de 823 empresas de la ciudad con 761 compradores internacionales en distintas ferias y ruedas comerciales dejando expectativas de negocios por valor de USD 143,7 millones.</w:t>
      </w:r>
    </w:p>
    <w:p w14:paraId="60D4A85F" w14:textId="77777777" w:rsidR="000A4D6B" w:rsidRDefault="000A4D6B">
      <w:pPr>
        <w:jc w:val="both"/>
      </w:pPr>
    </w:p>
    <w:p w14:paraId="0187184C" w14:textId="00553B68" w:rsidR="000A7CAF" w:rsidRDefault="006602E4">
      <w:pPr>
        <w:jc w:val="both"/>
      </w:pPr>
      <w:r>
        <w:t>De acuerdo a los resultados obtenidos a través del informe Encuesta de Viajeros de Bogotá 2018, emitido por el Observatorio de Turismo, el crecimiento del turismo en Colombia, fue mayor porcentualmente frente a lo que se registró en términos regionales para las Américas o Suramérica cuyos valores fueron del 6% y 3% respectivamente; para el caso puntual de Bogotá, en 2018 se registró un aumento en la cantidad de turistas equivalente al 28.4% con respecto al año 2017, que representa 12.923.975 turistas de los cuales 1.878.537 fueron internacionales y 11.045.438 nacionales.</w:t>
      </w:r>
    </w:p>
    <w:p w14:paraId="72D7B593" w14:textId="4788ED33" w:rsidR="00FC7A63" w:rsidRDefault="00255D25">
      <w:pPr>
        <w:jc w:val="both"/>
      </w:pPr>
      <w:r>
        <w:t xml:space="preserve">La </w:t>
      </w:r>
      <w:r w:rsidR="006602E4">
        <w:t>actividad empresarial del turismo fue dinámica</w:t>
      </w:r>
      <w:r>
        <w:t xml:space="preserve"> </w:t>
      </w:r>
      <w:r w:rsidR="006602E4">
        <w:t xml:space="preserve">para el año 2018, pues en el Registro Nacional de Turismo (RNT) se inscribieron 821 nuevos establecimientos los cuales robustecen la cifra global que se aproxima a los 4.200 establecimientos. Principalmente, este aumento de establecimientos se dio en tres campos: agencias de viajes, establecimientos de alojamiento y hospedaje y guías turísticos. </w:t>
      </w:r>
      <w:r w:rsidR="004575FF">
        <w:t xml:space="preserve">En </w:t>
      </w:r>
      <w:r>
        <w:t xml:space="preserve">turismo </w:t>
      </w:r>
      <w:r w:rsidR="0003254B">
        <w:t>existen</w:t>
      </w:r>
      <w:r w:rsidR="004575FF">
        <w:t xml:space="preserve"> retos asociados a la legislación nacional que requiere de una actualización frente a los retos mundiales, donde las aplicaciones colaborativas plantean la facilitación de la prestación de servicios turísticos sin procedimientos</w:t>
      </w:r>
      <w:r>
        <w:t xml:space="preserve"> aun regulados</w:t>
      </w:r>
      <w:r w:rsidR="004575FF">
        <w:t>. La formación en guianza requiere una mayor flexibilización propia también de necesidades que debe satisfacer el mercado</w:t>
      </w:r>
      <w:r>
        <w:t xml:space="preserve"> y</w:t>
      </w:r>
      <w:r w:rsidR="004575FF">
        <w:t xml:space="preserve"> de la utilización de nuevas herramientas tecnológicas</w:t>
      </w:r>
      <w:r>
        <w:t>.</w:t>
      </w:r>
      <w:r w:rsidR="004575FF">
        <w:t xml:space="preserve"> </w:t>
      </w:r>
    </w:p>
    <w:p w14:paraId="54FC7528" w14:textId="6B009B43" w:rsidR="000A4D6B" w:rsidRDefault="006602E4" w:rsidP="0003254B">
      <w:pPr>
        <w:pStyle w:val="Ttulo1"/>
      </w:pPr>
      <w:bookmarkStart w:id="28" w:name="_Toc23443976"/>
      <w:r w:rsidRPr="008232B3">
        <w:t>Conclusiones</w:t>
      </w:r>
      <w:bookmarkEnd w:id="28"/>
    </w:p>
    <w:p w14:paraId="11513C19" w14:textId="77777777" w:rsidR="0003254B" w:rsidRPr="0003254B" w:rsidRDefault="0003254B" w:rsidP="0003254B"/>
    <w:p w14:paraId="78017557" w14:textId="4937F2BD" w:rsidR="00483C05" w:rsidRDefault="006602E4" w:rsidP="000A4D6B">
      <w:pPr>
        <w:jc w:val="both"/>
      </w:pPr>
      <w:r>
        <w:t xml:space="preserve">La </w:t>
      </w:r>
      <w:r w:rsidR="000A4D6B">
        <w:t>SDDE</w:t>
      </w:r>
      <w:r w:rsidR="004575FF">
        <w:t xml:space="preserve"> con sus entidades </w:t>
      </w:r>
      <w:r w:rsidR="000A4D6B">
        <w:t>adscritas</w:t>
      </w:r>
      <w:r w:rsidR="004575FF">
        <w:t xml:space="preserve"> </w:t>
      </w:r>
      <w:r>
        <w:t>ha</w:t>
      </w:r>
      <w:r w:rsidR="000A4D6B">
        <w:t>n</w:t>
      </w:r>
      <w:r>
        <w:t xml:space="preserve"> </w:t>
      </w:r>
      <w:r w:rsidR="000A4D6B">
        <w:t>sido</w:t>
      </w:r>
      <w:r w:rsidR="004C2913">
        <w:t xml:space="preserve"> protagonistas</w:t>
      </w:r>
      <w:r>
        <w:t xml:space="preserve"> en la transformación y crecimiento económico de la ciudad</w:t>
      </w:r>
      <w:r w:rsidR="000A4D6B">
        <w:t>. L</w:t>
      </w:r>
      <w:r>
        <w:t xml:space="preserve">os </w:t>
      </w:r>
      <w:r w:rsidR="00E81350">
        <w:t xml:space="preserve">logros </w:t>
      </w:r>
      <w:r>
        <w:t xml:space="preserve">y resultados </w:t>
      </w:r>
      <w:r w:rsidR="000A4D6B">
        <w:t xml:space="preserve">se presentan </w:t>
      </w:r>
      <w:r>
        <w:t>en el Documento</w:t>
      </w:r>
      <w:r w:rsidR="00E81350">
        <w:t xml:space="preserve"> de Balan</w:t>
      </w:r>
      <w:r w:rsidR="000A4D6B">
        <w:t>ce E</w:t>
      </w:r>
      <w:r w:rsidR="00E81350">
        <w:t>stratégico que da cuenta de las iniciativas desarrolladas para atender los problem</w:t>
      </w:r>
      <w:r w:rsidR="000A4D6B">
        <w:t>as planteados en</w:t>
      </w:r>
      <w:r w:rsidR="00E81350">
        <w:t xml:space="preserve"> este Documento de Diagnóstico</w:t>
      </w:r>
      <w:bookmarkStart w:id="29" w:name="_heading=h.oblu7uaow6b3" w:colFirst="0" w:colLast="0"/>
      <w:bookmarkEnd w:id="29"/>
      <w:r w:rsidR="00483C05">
        <w:t xml:space="preserve">. </w:t>
      </w:r>
    </w:p>
    <w:p w14:paraId="63660EAE" w14:textId="20519682" w:rsidR="00483C05" w:rsidRDefault="00483C05" w:rsidP="000A4D6B">
      <w:pPr>
        <w:jc w:val="both"/>
      </w:pPr>
      <w:r>
        <w:t xml:space="preserve">La línea base y de diagnóstico acá expuesta, da muestras de una ciudad que a pesar de sus retos y desafíos se encuentra según distintos indicadores en un momento de desarrollo y crecimiento </w:t>
      </w:r>
      <w:r>
        <w:lastRenderedPageBreak/>
        <w:t xml:space="preserve">importante. Es por esto necesario, revisar la continuidad de distintas iniciativas que vienen generando esos resultados positivos para el emprendimiento, la innovación, la empleabilidad, el turismo, la formalización, la exportación, la inversión extranjera, entre otras. </w:t>
      </w:r>
    </w:p>
    <w:p w14:paraId="7507C92C" w14:textId="6D0CB83D" w:rsidR="00AD5E8D" w:rsidRDefault="00AD5E8D" w:rsidP="000A4D6B">
      <w:pPr>
        <w:jc w:val="both"/>
      </w:pPr>
    </w:p>
    <w:p w14:paraId="1C04E30A" w14:textId="0E928062" w:rsidR="00AD5E8D" w:rsidRDefault="00AD5E8D" w:rsidP="000A4D6B">
      <w:pPr>
        <w:jc w:val="both"/>
      </w:pPr>
    </w:p>
    <w:p w14:paraId="2553E746" w14:textId="48BE9849" w:rsidR="00AD5E8D" w:rsidRDefault="00AD5E8D" w:rsidP="000A4D6B">
      <w:pPr>
        <w:jc w:val="both"/>
      </w:pPr>
    </w:p>
    <w:p w14:paraId="52E4F625" w14:textId="26861A6E" w:rsidR="00AD5E8D" w:rsidRDefault="00AD5E8D" w:rsidP="000A4D6B">
      <w:pPr>
        <w:jc w:val="both"/>
      </w:pPr>
    </w:p>
    <w:p w14:paraId="462D0266" w14:textId="31368DBE" w:rsidR="0003254B" w:rsidRDefault="0003254B" w:rsidP="000A4D6B">
      <w:pPr>
        <w:jc w:val="both"/>
      </w:pPr>
    </w:p>
    <w:p w14:paraId="14E87948" w14:textId="0911923B" w:rsidR="001020DD" w:rsidRDefault="001020DD" w:rsidP="000A4D6B">
      <w:pPr>
        <w:jc w:val="both"/>
      </w:pPr>
    </w:p>
    <w:p w14:paraId="02238D1F" w14:textId="2D0F7438" w:rsidR="001020DD" w:rsidRDefault="001020DD" w:rsidP="000A4D6B">
      <w:pPr>
        <w:jc w:val="both"/>
      </w:pPr>
    </w:p>
    <w:p w14:paraId="44EA4483" w14:textId="13139EE1" w:rsidR="001020DD" w:rsidRDefault="001020DD" w:rsidP="000A4D6B">
      <w:pPr>
        <w:jc w:val="both"/>
      </w:pPr>
    </w:p>
    <w:p w14:paraId="72C2CAFE" w14:textId="65199CAE" w:rsidR="001020DD" w:rsidRDefault="001020DD" w:rsidP="000A4D6B">
      <w:pPr>
        <w:jc w:val="both"/>
      </w:pPr>
    </w:p>
    <w:p w14:paraId="229C9D19" w14:textId="6BB57EFB" w:rsidR="001020DD" w:rsidRDefault="001020DD" w:rsidP="000A4D6B">
      <w:pPr>
        <w:jc w:val="both"/>
      </w:pPr>
    </w:p>
    <w:p w14:paraId="2CD5566D" w14:textId="74433385" w:rsidR="001020DD" w:rsidRDefault="001020DD" w:rsidP="000A4D6B">
      <w:pPr>
        <w:jc w:val="both"/>
      </w:pPr>
    </w:p>
    <w:p w14:paraId="511C767E" w14:textId="5A6E1242" w:rsidR="001020DD" w:rsidRDefault="001020DD" w:rsidP="000A4D6B">
      <w:pPr>
        <w:jc w:val="both"/>
      </w:pPr>
    </w:p>
    <w:p w14:paraId="4BBF5D65" w14:textId="79A2FFE3" w:rsidR="001020DD" w:rsidRDefault="001020DD" w:rsidP="000A4D6B">
      <w:pPr>
        <w:jc w:val="both"/>
      </w:pPr>
    </w:p>
    <w:p w14:paraId="7D3FB36D" w14:textId="080E899D" w:rsidR="001020DD" w:rsidRDefault="001020DD" w:rsidP="000A4D6B">
      <w:pPr>
        <w:jc w:val="both"/>
      </w:pPr>
    </w:p>
    <w:p w14:paraId="30C1F40C" w14:textId="1A59E680" w:rsidR="001020DD" w:rsidRDefault="001020DD" w:rsidP="000A4D6B">
      <w:pPr>
        <w:jc w:val="both"/>
      </w:pPr>
    </w:p>
    <w:p w14:paraId="05EC8EED" w14:textId="36F7FAC3" w:rsidR="001020DD" w:rsidRDefault="001020DD" w:rsidP="000A4D6B">
      <w:pPr>
        <w:jc w:val="both"/>
      </w:pPr>
    </w:p>
    <w:p w14:paraId="625BD3E5" w14:textId="422746B1" w:rsidR="001020DD" w:rsidRDefault="001020DD" w:rsidP="000A4D6B">
      <w:pPr>
        <w:jc w:val="both"/>
      </w:pPr>
    </w:p>
    <w:p w14:paraId="77CFD9E7" w14:textId="1D08ADE9" w:rsidR="001020DD" w:rsidRDefault="001020DD" w:rsidP="000A4D6B">
      <w:pPr>
        <w:jc w:val="both"/>
      </w:pPr>
    </w:p>
    <w:p w14:paraId="710478D7" w14:textId="33C00E32" w:rsidR="001020DD" w:rsidRDefault="001020DD" w:rsidP="000A4D6B">
      <w:pPr>
        <w:jc w:val="both"/>
      </w:pPr>
    </w:p>
    <w:p w14:paraId="69ED53B3" w14:textId="170AF9C3" w:rsidR="001020DD" w:rsidRDefault="001020DD" w:rsidP="000A4D6B">
      <w:pPr>
        <w:jc w:val="both"/>
      </w:pPr>
    </w:p>
    <w:p w14:paraId="1B1C58DA" w14:textId="42290581" w:rsidR="001020DD" w:rsidRDefault="001020DD" w:rsidP="000A4D6B">
      <w:pPr>
        <w:jc w:val="both"/>
      </w:pPr>
    </w:p>
    <w:p w14:paraId="3AC5027A" w14:textId="77777777" w:rsidR="001020DD" w:rsidRDefault="001020DD" w:rsidP="000A4D6B">
      <w:pPr>
        <w:jc w:val="both"/>
      </w:pPr>
    </w:p>
    <w:p w14:paraId="475998CD" w14:textId="2A36E977" w:rsidR="00AD5E8D" w:rsidRDefault="00AD5E8D" w:rsidP="00AD5E8D">
      <w:pPr>
        <w:pStyle w:val="Ttulo1"/>
      </w:pPr>
      <w:bookmarkStart w:id="30" w:name="_Toc23443977"/>
      <w:r>
        <w:lastRenderedPageBreak/>
        <w:t>Referencias</w:t>
      </w:r>
      <w:bookmarkEnd w:id="30"/>
    </w:p>
    <w:p w14:paraId="6D821414" w14:textId="77777777" w:rsidR="002022F1" w:rsidRDefault="002022F1" w:rsidP="002022F1">
      <w:pPr>
        <w:spacing w:after="160" w:line="254" w:lineRule="auto"/>
        <w:ind w:left="720" w:hanging="720"/>
      </w:pPr>
    </w:p>
    <w:p w14:paraId="6CF60BA3" w14:textId="788405BF" w:rsidR="002022F1" w:rsidRDefault="002022F1" w:rsidP="002022F1">
      <w:pPr>
        <w:spacing w:after="160" w:line="254" w:lineRule="auto"/>
        <w:ind w:left="720" w:hanging="720"/>
      </w:pPr>
      <w:r>
        <w:t>Banco de La República (2019).</w:t>
      </w:r>
      <w:r>
        <w:rPr>
          <w:i/>
        </w:rPr>
        <w:t xml:space="preserve"> Reporte de la situación actual del microcrédito en Colombia- septiembre 2019. </w:t>
      </w:r>
      <w:r>
        <w:t xml:space="preserve">Obtenido de: </w:t>
      </w:r>
      <w:r w:rsidRPr="002022F1">
        <w:t>http://www.banrep.gov.co/es/reporte-situacion-del-microcredito-colombia-septiembre-2019</w:t>
      </w:r>
    </w:p>
    <w:p w14:paraId="3629690C" w14:textId="77777777" w:rsidR="002022F1" w:rsidRDefault="002022F1" w:rsidP="002022F1">
      <w:pPr>
        <w:spacing w:after="160" w:line="254" w:lineRule="auto"/>
        <w:ind w:left="720" w:hanging="720"/>
      </w:pPr>
      <w:r>
        <w:t>Banco Mundial (2017).</w:t>
      </w:r>
      <w:r>
        <w:rPr>
          <w:i/>
        </w:rPr>
        <w:t xml:space="preserve"> Proyecto Doing Business: Índice de facilidad para hacer negocios Bogotá vs. Otras ciudades. </w:t>
      </w:r>
    </w:p>
    <w:p w14:paraId="6DAFBC83" w14:textId="77777777" w:rsidR="002022F1" w:rsidRDefault="002022F1" w:rsidP="002022F1">
      <w:pPr>
        <w:spacing w:after="160" w:line="254" w:lineRule="auto"/>
        <w:ind w:left="720" w:hanging="720"/>
        <w:rPr>
          <w:highlight w:val="yellow"/>
        </w:rPr>
      </w:pPr>
      <w:r>
        <w:t>Banco Mundial (2017).</w:t>
      </w:r>
      <w:r>
        <w:rPr>
          <w:i/>
        </w:rPr>
        <w:t xml:space="preserve"> Proyecto Doing Business: Índice de protección a inversionistas Bogotá vs. Otras ciudades. </w:t>
      </w:r>
    </w:p>
    <w:p w14:paraId="09DFCE8D" w14:textId="2DBB6CEB" w:rsidR="002022F1" w:rsidRDefault="002022F1" w:rsidP="002022F1">
      <w:pPr>
        <w:spacing w:after="160" w:line="254" w:lineRule="auto"/>
        <w:ind w:left="720" w:hanging="720"/>
      </w:pPr>
      <w:r>
        <w:t>Consejo Privado de Competitividad (2019).</w:t>
      </w:r>
      <w:r>
        <w:rPr>
          <w:i/>
        </w:rPr>
        <w:t xml:space="preserve"> Índice de Competitividad por ciudades (p. 27). </w:t>
      </w:r>
      <w:r>
        <w:t xml:space="preserve">Obtenido de: </w:t>
      </w:r>
      <w:r w:rsidRPr="002022F1">
        <w:t>https://compite.com.co/wp-content/uploads/2019/06/ICC_2019_V1_VWeb.pdf</w:t>
      </w:r>
    </w:p>
    <w:p w14:paraId="6A03AC7F" w14:textId="77777777" w:rsidR="002022F1" w:rsidRDefault="002022F1" w:rsidP="002022F1">
      <w:pPr>
        <w:spacing w:after="160" w:line="254" w:lineRule="auto"/>
        <w:ind w:left="720" w:hanging="720"/>
        <w:rPr>
          <w:color w:val="000000"/>
        </w:rPr>
      </w:pPr>
      <w:r>
        <w:rPr>
          <w:color w:val="000000"/>
        </w:rPr>
        <w:t xml:space="preserve">Cámara de Comercio de Bogotá. (2018). </w:t>
      </w:r>
      <w:r>
        <w:rPr>
          <w:i/>
          <w:color w:val="000000"/>
        </w:rPr>
        <w:t>Balance de la economía de la región Bogotá-Cundinamarca.</w:t>
      </w:r>
      <w:r>
        <w:rPr>
          <w:color w:val="000000"/>
        </w:rPr>
        <w:t xml:space="preserve">  </w:t>
      </w:r>
    </w:p>
    <w:p w14:paraId="29FD6399" w14:textId="3C70FF32" w:rsidR="002022F1" w:rsidRDefault="002022F1" w:rsidP="002022F1">
      <w:pPr>
        <w:spacing w:after="160" w:line="254" w:lineRule="auto"/>
        <w:ind w:left="720" w:hanging="720"/>
      </w:pPr>
      <w:r>
        <w:rPr>
          <w:color w:val="000000"/>
        </w:rPr>
        <w:t xml:space="preserve">Cámara de Comercio de Bogotá. (s.f). </w:t>
      </w:r>
      <w:r>
        <w:rPr>
          <w:i/>
          <w:color w:val="000000"/>
        </w:rPr>
        <w:t xml:space="preserve">¿Qué son los Clusters y dónde están ubicados? </w:t>
      </w:r>
      <w:r>
        <w:t xml:space="preserve">Obtenido de: </w:t>
      </w:r>
      <w:r w:rsidRPr="002022F1">
        <w:t>https://www.ccb.org.co/Preguntas-frecuentes/Iniciativas-de-Clusters/Que-son-los-Clusters-y-donde-estan-ubicados</w:t>
      </w:r>
    </w:p>
    <w:p w14:paraId="26F10D03" w14:textId="3A195778" w:rsidR="002022F1" w:rsidRDefault="002022F1" w:rsidP="002022F1">
      <w:pPr>
        <w:pStyle w:val="Bibliografa"/>
        <w:ind w:left="720" w:hanging="720"/>
        <w:rPr>
          <w:noProof/>
          <w:lang w:val="es-ES"/>
        </w:rPr>
      </w:pPr>
      <w:r w:rsidRPr="002022F1">
        <w:rPr>
          <w:noProof/>
          <w:lang w:val="es-ES"/>
        </w:rPr>
        <w:t xml:space="preserve">DANE. (2019). </w:t>
      </w:r>
      <w:r w:rsidRPr="002022F1">
        <w:rPr>
          <w:i/>
          <w:iCs/>
          <w:noProof/>
          <w:lang w:val="es-ES"/>
        </w:rPr>
        <w:t>Medición de empleo informal y seguridad social Trimestre móvil junio - agosto 2019.</w:t>
      </w:r>
      <w:r w:rsidRPr="002022F1">
        <w:rPr>
          <w:noProof/>
          <w:lang w:val="es-ES"/>
        </w:rPr>
        <w:t xml:space="preserve"> DANE (Departamento Administrativo Nacional de Estadística ). Bogotá: Boletín Técnico Gran Encuesta Integrada de Hogares (GEIH). Obtenido de </w:t>
      </w:r>
      <w:r w:rsidR="001020DD" w:rsidRPr="001020DD">
        <w:rPr>
          <w:noProof/>
          <w:lang w:val="es-ES"/>
        </w:rPr>
        <w:t>https://www.dane.gov.co/files/investigaciones/boletines/ech/ech_informalidad/bol_ech_informalidad_jun19_ago19.pdf</w:t>
      </w:r>
    </w:p>
    <w:p w14:paraId="4F8E7FEA" w14:textId="0C01021A" w:rsidR="001020DD" w:rsidRPr="001020DD" w:rsidRDefault="001020DD" w:rsidP="001020DD">
      <w:pPr>
        <w:pStyle w:val="Bibliografa"/>
        <w:ind w:left="720" w:hanging="720"/>
        <w:rPr>
          <w:noProof/>
          <w:lang w:val="es-ES"/>
        </w:rPr>
      </w:pPr>
      <w:r w:rsidRPr="002022F1">
        <w:rPr>
          <w:noProof/>
          <w:lang w:val="es-ES"/>
        </w:rPr>
        <w:t xml:space="preserve">Fondo Monetario Internacional . (2019). </w:t>
      </w:r>
      <w:r w:rsidRPr="002022F1">
        <w:rPr>
          <w:i/>
          <w:iCs/>
          <w:noProof/>
          <w:lang w:val="es-ES"/>
        </w:rPr>
        <w:t>INFORMES DE PERSPECTIVAS DE LA ECONOMÍA MUNDIAL.</w:t>
      </w:r>
      <w:r w:rsidRPr="002022F1">
        <w:rPr>
          <w:noProof/>
          <w:lang w:val="es-ES"/>
        </w:rPr>
        <w:t xml:space="preserve"> Financiero , Fondo Monetario Internacional . Recuperado el 2019, de https://www.imf.org/es/Publications/WEO/Issues/2019/10/01/world-economic-outlook-october-2019</w:t>
      </w:r>
    </w:p>
    <w:p w14:paraId="78E2A7CA" w14:textId="0F44DCC2" w:rsidR="002022F1" w:rsidRPr="00227617" w:rsidRDefault="002022F1" w:rsidP="002022F1">
      <w:pPr>
        <w:spacing w:after="160" w:line="254" w:lineRule="auto"/>
        <w:ind w:left="720" w:hanging="720"/>
        <w:rPr>
          <w:b/>
        </w:rPr>
      </w:pPr>
      <w:r>
        <w:t>Gómez, J. E. (2019).</w:t>
      </w:r>
      <w:r>
        <w:rPr>
          <w:i/>
        </w:rPr>
        <w:t xml:space="preserve"> Las plazas distritales de mercado en Bogotá: una mirada de la inseguridad alimentaria y el consumo de alimentos en la localidad de Barrios Unidos. </w:t>
      </w:r>
      <w:r w:rsidRPr="00227617">
        <w:t>Revista CIFE: Lecturas de Economía Social, 20(32), Pág. 142</w:t>
      </w:r>
      <w:r w:rsidRPr="00227617">
        <w:rPr>
          <w:b/>
        </w:rPr>
        <w:t>.</w:t>
      </w:r>
    </w:p>
    <w:p w14:paraId="5FD5B506" w14:textId="0BD9CA38" w:rsidR="002022F1" w:rsidRPr="002022F1" w:rsidRDefault="002022F1" w:rsidP="002022F1">
      <w:pPr>
        <w:pStyle w:val="Bibliografa"/>
        <w:ind w:left="720" w:hanging="720"/>
        <w:rPr>
          <w:noProof/>
          <w:lang w:val="es-ES"/>
        </w:rPr>
      </w:pPr>
      <w:r w:rsidRPr="00227617">
        <w:rPr>
          <w:noProof/>
        </w:rPr>
        <w:t xml:space="preserve">IDB. (21 de septiembre de 2018). </w:t>
      </w:r>
      <w:r w:rsidRPr="00AB3CD5">
        <w:rPr>
          <w:i/>
          <w:iCs/>
          <w:noProof/>
          <w:lang w:val="en-CA"/>
        </w:rPr>
        <w:t>A rapid Transit System That Boosts Productivity</w:t>
      </w:r>
      <w:r w:rsidRPr="00AB3CD5">
        <w:rPr>
          <w:noProof/>
          <w:lang w:val="en-CA"/>
        </w:rPr>
        <w:t xml:space="preserve">. </w:t>
      </w:r>
      <w:r>
        <w:rPr>
          <w:noProof/>
          <w:lang w:val="es-ES"/>
        </w:rPr>
        <w:t>Obtenido de https://blogs.iadb.org/ideas-matter/en/a-rapid-transit-system-that-boosts-productivity/</w:t>
      </w:r>
    </w:p>
    <w:p w14:paraId="3DF4E0B1" w14:textId="3C7F5E6E" w:rsidR="002022F1" w:rsidRDefault="002022F1" w:rsidP="002022F1">
      <w:pPr>
        <w:spacing w:after="160" w:line="254" w:lineRule="auto"/>
        <w:ind w:left="720" w:hanging="720"/>
      </w:pPr>
      <w:r>
        <w:fldChar w:fldCharType="begin"/>
      </w:r>
      <w:r>
        <w:rPr>
          <w:lang w:val="es-ES"/>
        </w:rPr>
        <w:instrText xml:space="preserve"> BIBLIOGRAPHY  \l 3082 </w:instrText>
      </w:r>
      <w:r>
        <w:fldChar w:fldCharType="separate"/>
      </w:r>
      <w:r>
        <w:rPr>
          <w:noProof/>
          <w:lang w:val="es-ES"/>
        </w:rPr>
        <w:t xml:space="preserve"> OECD </w:t>
      </w:r>
      <w:r>
        <w:rPr>
          <w:color w:val="000000"/>
        </w:rPr>
        <w:t xml:space="preserve">(2018). </w:t>
      </w:r>
      <w:r>
        <w:rPr>
          <w:i/>
          <w:color w:val="000000"/>
        </w:rPr>
        <w:t xml:space="preserve">Financiamiento de pymes y emprendedores 2018.  </w:t>
      </w:r>
      <w:r>
        <w:rPr>
          <w:color w:val="000000"/>
        </w:rPr>
        <w:t xml:space="preserve">Obtenido de: </w:t>
      </w:r>
      <w:r w:rsidRPr="002022F1">
        <w:t>https://www.oecd.org/industry/smes/SPA-Highlights-Financing-SMEs-and-Entrepreneurs-2018.pdf</w:t>
      </w:r>
    </w:p>
    <w:p w14:paraId="765CB679" w14:textId="6CCAB9F1" w:rsidR="002022F1" w:rsidRDefault="002022F1" w:rsidP="002022F1">
      <w:pPr>
        <w:spacing w:after="160" w:line="254" w:lineRule="auto"/>
        <w:ind w:left="720" w:hanging="720"/>
      </w:pPr>
      <w:r>
        <w:rPr>
          <w:noProof/>
          <w:lang w:val="es-ES"/>
        </w:rPr>
        <w:t>Observatorio De Desarrollo Económico</w:t>
      </w:r>
      <w:r>
        <w:rPr>
          <w:color w:val="000000"/>
        </w:rPr>
        <w:t xml:space="preserve">. (2019). </w:t>
      </w:r>
      <w:r>
        <w:rPr>
          <w:i/>
          <w:color w:val="000000"/>
        </w:rPr>
        <w:t xml:space="preserve">Tasa de desempleo en Bogotá se ubicó en 10,4% para el trimestre junio-agosto de 2019.  </w:t>
      </w:r>
      <w:r>
        <w:rPr>
          <w:color w:val="000000"/>
        </w:rPr>
        <w:t xml:space="preserve">Obtenido de: </w:t>
      </w:r>
      <w:r w:rsidRPr="002022F1">
        <w:lastRenderedPageBreak/>
        <w:t>http://observatorio.desarrolloeconomico.gov.co/trabajo-decente-y-digno-mercado-laboral/tasa-de-desempleo-en-bogota-se-ubico-en-104-para-el</w:t>
      </w:r>
    </w:p>
    <w:p w14:paraId="5DD1276E" w14:textId="2A38FE01" w:rsidR="002022F1" w:rsidRDefault="002022F1" w:rsidP="002022F1">
      <w:pPr>
        <w:spacing w:after="160" w:line="254" w:lineRule="auto"/>
        <w:ind w:left="720" w:hanging="720"/>
      </w:pPr>
      <w:r>
        <w:rPr>
          <w:noProof/>
          <w:lang w:val="es-ES"/>
        </w:rPr>
        <w:t>Observatorio De Turismo</w:t>
      </w:r>
      <w:r>
        <w:rPr>
          <w:color w:val="000000"/>
        </w:rPr>
        <w:t xml:space="preserve">. (2018). </w:t>
      </w:r>
      <w:r>
        <w:rPr>
          <w:i/>
          <w:color w:val="000000"/>
        </w:rPr>
        <w:t xml:space="preserve">Investigación encuesta de viajeros en Bogotá 2018. </w:t>
      </w:r>
      <w:r>
        <w:rPr>
          <w:color w:val="000000"/>
        </w:rPr>
        <w:t xml:space="preserve">Obtenido de: </w:t>
      </w:r>
      <w:r w:rsidRPr="002022F1">
        <w:t>http://www.sitbog.gov.co/public/files/PPT-Viajeros-2018.pdf</w:t>
      </w:r>
    </w:p>
    <w:p w14:paraId="3BE2A152" w14:textId="00511687" w:rsidR="002022F1" w:rsidRDefault="002022F1" w:rsidP="002022F1">
      <w:pPr>
        <w:spacing w:after="160" w:line="254" w:lineRule="auto"/>
        <w:ind w:left="720" w:hanging="720"/>
      </w:pPr>
      <w:r>
        <w:rPr>
          <w:noProof/>
          <w:lang w:val="es-ES"/>
        </w:rPr>
        <w:t xml:space="preserve">Veeduría Distrital </w:t>
      </w:r>
      <w:r>
        <w:rPr>
          <w:color w:val="000000"/>
        </w:rPr>
        <w:t xml:space="preserve">(2019).  </w:t>
      </w:r>
      <w:r>
        <w:rPr>
          <w:i/>
          <w:color w:val="000000"/>
        </w:rPr>
        <w:t xml:space="preserve">Logros y retos de ciudad: Bogotá 2016-2018.  </w:t>
      </w:r>
      <w:r>
        <w:rPr>
          <w:color w:val="000000"/>
        </w:rPr>
        <w:t xml:space="preserve">Obtenido de: </w:t>
      </w:r>
      <w:r w:rsidRPr="001020DD">
        <w:t>https://www.veeduriadistrital.gov.co/sites/default/files/files/Informe%20Balance%20tres%20a%C3%B1os_03042019.pdf</w:t>
      </w:r>
    </w:p>
    <w:p w14:paraId="00539205" w14:textId="77777777" w:rsidR="002022F1" w:rsidRDefault="002022F1" w:rsidP="002022F1">
      <w:pPr>
        <w:spacing w:after="160" w:line="254" w:lineRule="auto"/>
        <w:ind w:left="720" w:hanging="720"/>
        <w:rPr>
          <w:color w:val="000000"/>
        </w:rPr>
      </w:pPr>
    </w:p>
    <w:p w14:paraId="21158B62" w14:textId="77777777" w:rsidR="002022F1" w:rsidRDefault="002022F1" w:rsidP="002022F1">
      <w:pPr>
        <w:pStyle w:val="Bibliografa"/>
        <w:ind w:left="720" w:hanging="720"/>
        <w:rPr>
          <w:noProof/>
        </w:rPr>
      </w:pPr>
    </w:p>
    <w:p w14:paraId="5290DF9B" w14:textId="77777777" w:rsidR="002022F1" w:rsidRDefault="002022F1" w:rsidP="002022F1"/>
    <w:p w14:paraId="07A914E3" w14:textId="5E2B71A4" w:rsidR="00AB3CD5" w:rsidRPr="002022F1" w:rsidRDefault="002022F1" w:rsidP="002022F1">
      <w:pPr>
        <w:jc w:val="both"/>
      </w:pPr>
      <w:r>
        <w:fldChar w:fldCharType="end"/>
      </w:r>
      <w:r w:rsidR="00B05202">
        <w:fldChar w:fldCharType="begin"/>
      </w:r>
      <w:r w:rsidR="00B05202">
        <w:rPr>
          <w:lang w:val="es-ES"/>
        </w:rPr>
        <w:instrText xml:space="preserve"> BIBLIOGRAPHY  \l 3082 </w:instrText>
      </w:r>
      <w:r w:rsidR="00B05202">
        <w:fldChar w:fldCharType="separate"/>
      </w:r>
    </w:p>
    <w:p w14:paraId="59129F23" w14:textId="5E2B71A4" w:rsidR="00B05202" w:rsidRDefault="00B05202" w:rsidP="00AB3CD5">
      <w:pPr>
        <w:jc w:val="both"/>
      </w:pPr>
      <w:r>
        <w:fldChar w:fldCharType="end"/>
      </w:r>
    </w:p>
    <w:sectPr w:rsidR="00B05202">
      <w:headerReference w:type="default" r:id="rId31"/>
      <w:headerReference w:type="first" r:id="rId32"/>
      <w:pgSz w:w="12240" w:h="15840"/>
      <w:pgMar w:top="1417" w:right="1701" w:bottom="1417" w:left="1701" w:header="708" w:footer="708" w:gutter="0"/>
      <w:cols w:space="720" w:equalWidth="0">
        <w:col w:w="8838"/>
      </w:cols>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45DB10" w16cid:durableId="21635989"/>
  <w16cid:commentId w16cid:paraId="2549E7E6" w16cid:durableId="21634285"/>
  <w16cid:commentId w16cid:paraId="55511219" w16cid:durableId="21634287"/>
  <w16cid:commentId w16cid:paraId="267A98BE" w16cid:durableId="21634288"/>
  <w16cid:commentId w16cid:paraId="398E880B" w16cid:durableId="21635CC0"/>
  <w16cid:commentId w16cid:paraId="3171F99B" w16cid:durableId="216354D8"/>
  <w16cid:commentId w16cid:paraId="30715847" w16cid:durableId="2163553C"/>
  <w16cid:commentId w16cid:paraId="6CB3873C" w16cid:durableId="216355BF"/>
  <w16cid:commentId w16cid:paraId="0BA94A52" w16cid:durableId="21635626"/>
  <w16cid:commentId w16cid:paraId="4B936BC0" w16cid:durableId="21635ADA"/>
  <w16cid:commentId w16cid:paraId="31ACBE2A" w16cid:durableId="21635B0B"/>
  <w16cid:commentId w16cid:paraId="20CB6E70" w16cid:durableId="21635BDE"/>
  <w16cid:commentId w16cid:paraId="7F8823F7" w16cid:durableId="21635C3F"/>
  <w16cid:commentId w16cid:paraId="1E621D6D" w16cid:durableId="21635D6B"/>
  <w16cid:commentId w16cid:paraId="0BC1F483" w16cid:durableId="21635E80"/>
  <w16cid:commentId w16cid:paraId="107ECB7F" w16cid:durableId="21635EEB"/>
  <w16cid:commentId w16cid:paraId="5450EB4D" w16cid:durableId="21635F56"/>
  <w16cid:commentId w16cid:paraId="50B59FBD" w16cid:durableId="21635F83"/>
  <w16cid:commentId w16cid:paraId="4C7A2081" w16cid:durableId="21636091"/>
  <w16cid:commentId w16cid:paraId="2999A0EA" w16cid:durableId="21636106"/>
  <w16cid:commentId w16cid:paraId="67A8DEDE" w16cid:durableId="21636146"/>
  <w16cid:commentId w16cid:paraId="35C35966" w16cid:durableId="21636164"/>
  <w16cid:commentId w16cid:paraId="365F8796" w16cid:durableId="216363DF"/>
  <w16cid:commentId w16cid:paraId="3A526B0D" w16cid:durableId="21636421"/>
  <w16cid:commentId w16cid:paraId="200EE448" w16cid:durableId="21636453"/>
  <w16cid:commentId w16cid:paraId="49ACE78F" w16cid:durableId="21636480"/>
  <w16cid:commentId w16cid:paraId="3663FE4E" w16cid:durableId="216365CD"/>
  <w16cid:commentId w16cid:paraId="290C9339" w16cid:durableId="2163673F"/>
  <w16cid:commentId w16cid:paraId="05AD4C21" w16cid:durableId="216369C6"/>
  <w16cid:commentId w16cid:paraId="25F5356A" w16cid:durableId="216369D5"/>
  <w16cid:commentId w16cid:paraId="6F1078A8" w16cid:durableId="21636B69"/>
  <w16cid:commentId w16cid:paraId="311C966D" w16cid:durableId="21636BA6"/>
  <w16cid:commentId w16cid:paraId="654A3EE5" w16cid:durableId="21636C2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883B9" w14:textId="77777777" w:rsidR="00A352AD" w:rsidRDefault="00A352AD">
      <w:pPr>
        <w:spacing w:after="0" w:line="240" w:lineRule="auto"/>
      </w:pPr>
      <w:r>
        <w:separator/>
      </w:r>
    </w:p>
  </w:endnote>
  <w:endnote w:type="continuationSeparator" w:id="0">
    <w:p w14:paraId="354249CA" w14:textId="77777777" w:rsidR="00A352AD" w:rsidRDefault="00A35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BBB9C" w14:textId="0AE56984" w:rsidR="00D065EA" w:rsidRDefault="00D065EA">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031F7">
      <w:rPr>
        <w:noProof/>
        <w:color w:val="000000"/>
      </w:rPr>
      <w:t>20</w:t>
    </w:r>
    <w:r>
      <w:rPr>
        <w:color w:val="000000"/>
      </w:rPr>
      <w:fldChar w:fldCharType="end"/>
    </w:r>
  </w:p>
  <w:p w14:paraId="7C19222A" w14:textId="77777777" w:rsidR="00D065EA" w:rsidRDefault="00D065E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527E5" w14:textId="77777777" w:rsidR="00A352AD" w:rsidRDefault="00A352AD">
      <w:pPr>
        <w:spacing w:after="0" w:line="240" w:lineRule="auto"/>
      </w:pPr>
      <w:r>
        <w:separator/>
      </w:r>
    </w:p>
  </w:footnote>
  <w:footnote w:type="continuationSeparator" w:id="0">
    <w:p w14:paraId="6AEBFB43" w14:textId="77777777" w:rsidR="00A352AD" w:rsidRDefault="00A352AD">
      <w:pPr>
        <w:spacing w:after="0" w:line="240" w:lineRule="auto"/>
      </w:pPr>
      <w:r>
        <w:continuationSeparator/>
      </w:r>
    </w:p>
  </w:footnote>
  <w:footnote w:id="1">
    <w:p w14:paraId="44061F1B" w14:textId="0FB9BAFB" w:rsidR="00D065EA" w:rsidRPr="008232B3" w:rsidRDefault="00D065EA" w:rsidP="00534087">
      <w:pPr>
        <w:spacing w:after="0" w:line="240" w:lineRule="auto"/>
        <w:jc w:val="both"/>
        <w:rPr>
          <w:rFonts w:asciiTheme="minorHAnsi" w:hAnsiTheme="minorHAnsi" w:cstheme="minorHAnsi"/>
          <w:sz w:val="20"/>
          <w:szCs w:val="20"/>
        </w:rPr>
      </w:pPr>
      <w:r>
        <w:rPr>
          <w:vertAlign w:val="superscript"/>
        </w:rPr>
        <w:footnoteRef/>
      </w:r>
      <w:r w:rsidRPr="008232B3">
        <w:rPr>
          <w:rFonts w:asciiTheme="minorHAnsi" w:hAnsiTheme="minorHAnsi" w:cstheme="minorHAnsi"/>
          <w:sz w:val="20"/>
          <w:szCs w:val="20"/>
        </w:rPr>
        <w:t>h</w:t>
      </w:r>
      <w:hyperlink r:id="rId1">
        <w:r w:rsidRPr="008232B3">
          <w:rPr>
            <w:rFonts w:asciiTheme="minorHAnsi" w:hAnsiTheme="minorHAnsi" w:cstheme="minorHAnsi"/>
            <w:color w:val="1155CC"/>
            <w:sz w:val="20"/>
            <w:szCs w:val="20"/>
            <w:u w:val="single"/>
          </w:rPr>
          <w:t>ttp://observatorio.desarrolloeconomico.gov.co/trabajo-decente-y-digno-mercado-laboral/tasa-de-desempleo-en-bogota-se-ubico-en-104-para-el</w:t>
        </w:r>
      </w:hyperlink>
    </w:p>
  </w:footnote>
  <w:footnote w:id="2">
    <w:p w14:paraId="39E4390F" w14:textId="77777777" w:rsidR="00D065EA" w:rsidRPr="008232B3" w:rsidRDefault="00D065EA" w:rsidP="00534087">
      <w:pPr>
        <w:spacing w:after="0" w:line="240" w:lineRule="auto"/>
        <w:jc w:val="both"/>
        <w:rPr>
          <w:rFonts w:asciiTheme="minorHAnsi" w:hAnsiTheme="minorHAnsi" w:cstheme="minorHAnsi"/>
          <w:sz w:val="20"/>
          <w:szCs w:val="20"/>
        </w:rPr>
      </w:pPr>
      <w:r w:rsidRPr="008232B3">
        <w:rPr>
          <w:rFonts w:asciiTheme="minorHAnsi" w:hAnsiTheme="minorHAnsi" w:cstheme="minorHAnsi"/>
          <w:sz w:val="20"/>
          <w:szCs w:val="20"/>
          <w:vertAlign w:val="superscript"/>
        </w:rPr>
        <w:footnoteRef/>
      </w:r>
      <w:r w:rsidRPr="008232B3">
        <w:rPr>
          <w:rFonts w:asciiTheme="minorHAnsi" w:hAnsiTheme="minorHAnsi" w:cstheme="minorHAnsi"/>
          <w:sz w:val="20"/>
          <w:szCs w:val="20"/>
        </w:rPr>
        <w:t xml:space="preserve"> </w:t>
      </w:r>
      <w:hyperlink r:id="rId2">
        <w:r w:rsidRPr="008232B3">
          <w:rPr>
            <w:rFonts w:asciiTheme="minorHAnsi" w:eastAsia="Arial" w:hAnsiTheme="minorHAnsi" w:cstheme="minorHAnsi"/>
            <w:color w:val="0000FF"/>
            <w:sz w:val="20"/>
            <w:szCs w:val="20"/>
            <w:u w:val="single"/>
          </w:rPr>
          <w:t>https://www.veeduriadistrital.gov.co/sites/default/files/files/Informe%20Balance%20tres%20a%C3%B1os_03042019.pdf</w:t>
        </w:r>
      </w:hyperlink>
    </w:p>
  </w:footnote>
  <w:footnote w:id="3">
    <w:p w14:paraId="39BEBB32" w14:textId="77777777" w:rsidR="00D065EA" w:rsidRPr="008232B3" w:rsidRDefault="00D065EA" w:rsidP="00534087">
      <w:pPr>
        <w:spacing w:after="0" w:line="240" w:lineRule="auto"/>
        <w:jc w:val="both"/>
        <w:rPr>
          <w:rFonts w:asciiTheme="minorHAnsi" w:hAnsiTheme="minorHAnsi" w:cstheme="minorHAnsi"/>
          <w:sz w:val="20"/>
          <w:szCs w:val="20"/>
        </w:rPr>
      </w:pPr>
      <w:r w:rsidRPr="008232B3">
        <w:rPr>
          <w:rFonts w:asciiTheme="minorHAnsi" w:hAnsiTheme="minorHAnsi" w:cstheme="minorHAnsi"/>
          <w:sz w:val="20"/>
          <w:szCs w:val="20"/>
          <w:vertAlign w:val="superscript"/>
        </w:rPr>
        <w:footnoteRef/>
      </w:r>
      <w:r w:rsidRPr="008232B3">
        <w:rPr>
          <w:rFonts w:asciiTheme="minorHAnsi" w:hAnsiTheme="minorHAnsi" w:cstheme="minorHAnsi"/>
          <w:sz w:val="20"/>
          <w:szCs w:val="20"/>
        </w:rPr>
        <w:t xml:space="preserve"> </w:t>
      </w:r>
      <w:hyperlink r:id="rId3">
        <w:r w:rsidRPr="008232B3">
          <w:rPr>
            <w:rFonts w:asciiTheme="minorHAnsi" w:eastAsia="Arial" w:hAnsiTheme="minorHAnsi" w:cstheme="minorHAnsi"/>
            <w:color w:val="0000FF"/>
            <w:sz w:val="20"/>
            <w:szCs w:val="20"/>
            <w:u w:val="single"/>
          </w:rPr>
          <w:t>http://www.banrep.gov.co/publicaciones?keys=&amp;title=&amp;tid=6534&amp;field_editor_value=&amp;tid_2=All&amp;tid_1=All&amp;keys_1=&amp;field_year_value=&amp;field_dia_value=All&amp;field_month_value=All&amp;language=All&amp;field_publication_number_value=</w:t>
        </w:r>
      </w:hyperlink>
    </w:p>
  </w:footnote>
  <w:footnote w:id="4">
    <w:p w14:paraId="0B815DA8" w14:textId="0058BAD2" w:rsidR="00D065EA" w:rsidRPr="008232B3" w:rsidRDefault="00D065EA" w:rsidP="00534087">
      <w:pPr>
        <w:pStyle w:val="Textonotapie"/>
        <w:jc w:val="both"/>
        <w:rPr>
          <w:rFonts w:asciiTheme="minorHAnsi" w:hAnsiTheme="minorHAnsi" w:cstheme="minorHAnsi"/>
        </w:rPr>
      </w:pPr>
      <w:r w:rsidRPr="008232B3">
        <w:rPr>
          <w:rStyle w:val="Refdenotaalpie"/>
          <w:rFonts w:asciiTheme="minorHAnsi" w:hAnsiTheme="minorHAnsi" w:cstheme="minorHAnsi"/>
        </w:rPr>
        <w:footnoteRef/>
      </w:r>
      <w:r w:rsidRPr="008232B3">
        <w:rPr>
          <w:rFonts w:asciiTheme="minorHAnsi" w:hAnsiTheme="minorHAnsi" w:cstheme="minorHAnsi"/>
        </w:rPr>
        <w:t xml:space="preserve"> </w:t>
      </w:r>
      <w:hyperlink r:id="rId4" w:history="1">
        <w:r w:rsidRPr="008232B3">
          <w:rPr>
            <w:rStyle w:val="Hipervnculo"/>
            <w:rFonts w:asciiTheme="minorHAnsi" w:hAnsiTheme="minorHAnsi" w:cstheme="minorHAnsi"/>
          </w:rPr>
          <w:t>https://www.oecd.org/industry/smes/SPA-Highlights-Financing-SMEs-and-Entrepreneurs-2018.pdf</w:t>
        </w:r>
      </w:hyperlink>
    </w:p>
  </w:footnote>
  <w:footnote w:id="5">
    <w:p w14:paraId="6363A2CB" w14:textId="77777777" w:rsidR="00D065EA" w:rsidRPr="008232B3" w:rsidRDefault="00D065EA" w:rsidP="00534087">
      <w:pPr>
        <w:spacing w:after="0" w:line="240" w:lineRule="auto"/>
        <w:jc w:val="both"/>
        <w:rPr>
          <w:rFonts w:asciiTheme="minorHAnsi" w:eastAsia="Times New Roman" w:hAnsiTheme="minorHAnsi" w:cstheme="minorHAnsi"/>
          <w:color w:val="000000"/>
          <w:sz w:val="20"/>
          <w:szCs w:val="20"/>
        </w:rPr>
      </w:pPr>
      <w:r w:rsidRPr="008232B3">
        <w:rPr>
          <w:rStyle w:val="Refdenotaalpie"/>
          <w:rFonts w:asciiTheme="minorHAnsi" w:hAnsiTheme="minorHAnsi" w:cstheme="minorHAnsi"/>
          <w:sz w:val="20"/>
          <w:szCs w:val="20"/>
        </w:rPr>
        <w:footnoteRef/>
      </w:r>
      <w:r w:rsidRPr="008232B3">
        <w:rPr>
          <w:rFonts w:asciiTheme="minorHAnsi" w:hAnsiTheme="minorHAnsi" w:cstheme="minorHAnsi"/>
          <w:sz w:val="20"/>
          <w:szCs w:val="20"/>
        </w:rPr>
        <w:t xml:space="preserve"> </w:t>
      </w:r>
      <w:r w:rsidRPr="008232B3">
        <w:rPr>
          <w:rFonts w:asciiTheme="minorHAnsi" w:hAnsiTheme="minorHAnsi" w:cstheme="minorHAnsi"/>
          <w:b/>
          <w:sz w:val="20"/>
          <w:szCs w:val="20"/>
        </w:rPr>
        <w:t>Nota:</w:t>
      </w:r>
      <w:r w:rsidRPr="008232B3">
        <w:rPr>
          <w:rFonts w:asciiTheme="minorHAnsi" w:hAnsiTheme="minorHAnsi" w:cstheme="minorHAnsi"/>
          <w:sz w:val="20"/>
          <w:szCs w:val="20"/>
        </w:rPr>
        <w:t xml:space="preserve"> El ranking general reporta únicamente ciudades cuyo aeropuerto pertenece al top 100 del mundo. Skytrax World Airport Awards reporta desde 1999 el ranking de aeropuertos en el mundo y es aceptado como un referente de calidad para la industria aeroportuaria mundial</w:t>
      </w:r>
    </w:p>
  </w:footnote>
  <w:footnote w:id="6">
    <w:p w14:paraId="4319B8B7" w14:textId="421DBDD6" w:rsidR="00D065EA" w:rsidRPr="008232B3" w:rsidRDefault="00D065EA" w:rsidP="00534087">
      <w:pPr>
        <w:pStyle w:val="Textonotapie"/>
        <w:jc w:val="both"/>
        <w:rPr>
          <w:rFonts w:asciiTheme="minorHAnsi" w:hAnsiTheme="minorHAnsi" w:cstheme="minorHAnsi"/>
        </w:rPr>
      </w:pPr>
      <w:r w:rsidRPr="008232B3">
        <w:rPr>
          <w:rStyle w:val="Refdenotaalpie"/>
          <w:rFonts w:asciiTheme="minorHAnsi" w:hAnsiTheme="minorHAnsi" w:cstheme="minorHAnsi"/>
        </w:rPr>
        <w:footnoteRef/>
      </w:r>
      <w:r w:rsidRPr="008232B3">
        <w:rPr>
          <w:rFonts w:asciiTheme="minorHAnsi" w:hAnsiTheme="minorHAnsi" w:cstheme="minorHAnsi"/>
        </w:rPr>
        <w:t xml:space="preserve"> </w:t>
      </w:r>
      <w:hyperlink r:id="rId5" w:history="1">
        <w:r w:rsidRPr="008232B3">
          <w:rPr>
            <w:rStyle w:val="Hipervnculo"/>
            <w:rFonts w:asciiTheme="minorHAnsi" w:hAnsiTheme="minorHAnsi" w:cstheme="minorHAnsi"/>
          </w:rPr>
          <w:t>https://blogs.iadb.org/ideas-matter/en/a-rapid-transit-system-that-boosts-productivity/</w:t>
        </w:r>
      </w:hyperlink>
    </w:p>
  </w:footnote>
  <w:footnote w:id="7">
    <w:p w14:paraId="110AC9B9" w14:textId="77777777" w:rsidR="00D065EA" w:rsidRPr="008232B3" w:rsidRDefault="00D065EA" w:rsidP="00534087">
      <w:pPr>
        <w:spacing w:after="0" w:line="240" w:lineRule="auto"/>
        <w:jc w:val="both"/>
        <w:rPr>
          <w:rFonts w:asciiTheme="minorHAnsi" w:hAnsiTheme="minorHAnsi" w:cstheme="minorHAnsi"/>
          <w:sz w:val="20"/>
          <w:szCs w:val="20"/>
        </w:rPr>
      </w:pPr>
      <w:r w:rsidRPr="008232B3">
        <w:rPr>
          <w:rFonts w:asciiTheme="minorHAnsi" w:hAnsiTheme="minorHAnsi" w:cstheme="minorHAnsi"/>
          <w:sz w:val="20"/>
          <w:szCs w:val="20"/>
          <w:vertAlign w:val="superscript"/>
        </w:rPr>
        <w:footnoteRef/>
      </w:r>
      <w:r w:rsidRPr="008232B3">
        <w:rPr>
          <w:rFonts w:asciiTheme="minorHAnsi" w:hAnsiTheme="minorHAnsi" w:cstheme="minorHAnsi"/>
          <w:sz w:val="20"/>
          <w:szCs w:val="20"/>
        </w:rPr>
        <w:t xml:space="preserve"> </w:t>
      </w:r>
      <w:r w:rsidRPr="008232B3">
        <w:rPr>
          <w:rFonts w:asciiTheme="minorHAnsi" w:eastAsia="Arial" w:hAnsiTheme="minorHAnsi" w:cstheme="minorHAnsi"/>
          <w:sz w:val="20"/>
          <w:szCs w:val="20"/>
        </w:rPr>
        <w:t>Cámara de Comercio de Bogotá - CCB. Cálculos del Observatorio de Desarrollo Económico - ODE.</w:t>
      </w:r>
    </w:p>
  </w:footnote>
  <w:footnote w:id="8">
    <w:p w14:paraId="034AAD59" w14:textId="394CC5BB" w:rsidR="00D065EA" w:rsidRPr="008232B3" w:rsidRDefault="00D065EA" w:rsidP="00534087">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8232B3">
        <w:rPr>
          <w:rFonts w:asciiTheme="minorHAnsi" w:hAnsiTheme="minorHAnsi" w:cstheme="minorHAnsi"/>
          <w:sz w:val="20"/>
          <w:szCs w:val="20"/>
          <w:vertAlign w:val="superscript"/>
        </w:rPr>
        <w:footnoteRef/>
      </w:r>
      <w:r w:rsidRPr="008232B3">
        <w:rPr>
          <w:rFonts w:asciiTheme="minorHAnsi" w:hAnsiTheme="minorHAnsi" w:cstheme="minorHAnsi"/>
          <w:color w:val="000000"/>
          <w:sz w:val="20"/>
          <w:szCs w:val="20"/>
        </w:rPr>
        <w:t xml:space="preserve"> Se define como una concentración de empresas e instituciones interconectadas en la actividad económica que desarrollan, cerca geográficamente unas de otras. Los actores del clúster trabajan de forma corresponsable y colaborativa en la identificación y el mejoramiento de las condiciones económicas, ambientales y sociales. Son una forma de materializar el principio de gobernanza (Cámara de Comercio de Bogotá, s.f).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651DB" w14:textId="77777777" w:rsidR="002022F1" w:rsidRDefault="002022F1">
    <w:pPr>
      <w:widowControl w:val="0"/>
      <w:pBdr>
        <w:top w:val="nil"/>
        <w:left w:val="nil"/>
        <w:bottom w:val="nil"/>
        <w:right w:val="nil"/>
        <w:between w:val="nil"/>
      </w:pBdr>
      <w:spacing w:after="0"/>
      <w:rPr>
        <w:color w:val="000000"/>
      </w:rPr>
    </w:pPr>
  </w:p>
  <w:tbl>
    <w:tblPr>
      <w:tblStyle w:val="a7"/>
      <w:tblW w:w="10131" w:type="dxa"/>
      <w:tblInd w:w="-640" w:type="dxa"/>
      <w:tblLayout w:type="fixed"/>
      <w:tblLook w:val="0400" w:firstRow="0" w:lastRow="0" w:firstColumn="0" w:lastColumn="0" w:noHBand="0" w:noVBand="1"/>
    </w:tblPr>
    <w:tblGrid>
      <w:gridCol w:w="1787"/>
      <w:gridCol w:w="1559"/>
      <w:gridCol w:w="1701"/>
      <w:gridCol w:w="2961"/>
      <w:gridCol w:w="2123"/>
    </w:tblGrid>
    <w:tr w:rsidR="002022F1" w14:paraId="4A6187A6" w14:textId="77777777">
      <w:trPr>
        <w:trHeight w:val="20"/>
      </w:trPr>
      <w:tc>
        <w:tcPr>
          <w:tcW w:w="1787" w:type="dxa"/>
          <w:vMerge w:val="restart"/>
          <w:tcBorders>
            <w:top w:val="single" w:sz="8" w:space="0" w:color="5B9BD5"/>
            <w:left w:val="single" w:sz="8" w:space="0" w:color="5B9BD5"/>
            <w:right w:val="single" w:sz="8" w:space="0" w:color="5B9BD5"/>
          </w:tcBorders>
        </w:tcPr>
        <w:p w14:paraId="200EEB4B" w14:textId="77777777" w:rsidR="002022F1" w:rsidRDefault="002022F1">
          <w:pPr>
            <w:jc w:val="center"/>
            <w:rPr>
              <w:b/>
              <w:color w:val="000000"/>
            </w:rPr>
          </w:pPr>
          <w:r>
            <w:rPr>
              <w:noProof/>
            </w:rPr>
            <w:drawing>
              <wp:anchor distT="0" distB="0" distL="114300" distR="114300" simplePos="0" relativeHeight="251658240" behindDoc="0" locked="0" layoutInCell="1" hidden="0" allowOverlap="1" wp14:anchorId="21D98EC8" wp14:editId="324741C2">
                <wp:simplePos x="0" y="0"/>
                <wp:positionH relativeFrom="column">
                  <wp:posOffset>-23465</wp:posOffset>
                </wp:positionH>
                <wp:positionV relativeFrom="paragraph">
                  <wp:posOffset>437072</wp:posOffset>
                </wp:positionV>
                <wp:extent cx="1076325" cy="835660"/>
                <wp:effectExtent l="0" t="0" r="0" b="0"/>
                <wp:wrapNone/>
                <wp:docPr id="579" name="image1.png" descr="Resultado de imagen para LOGO OFICIAL ALCALDIA MAYOR DE BOGOTA SECRETARIA DISTRITAL DE DESARROLLO ECONOMICO"/>
                <wp:cNvGraphicFramePr/>
                <a:graphic xmlns:a="http://schemas.openxmlformats.org/drawingml/2006/main">
                  <a:graphicData uri="http://schemas.openxmlformats.org/drawingml/2006/picture">
                    <pic:pic xmlns:pic="http://schemas.openxmlformats.org/drawingml/2006/picture">
                      <pic:nvPicPr>
                        <pic:cNvPr id="0" name="image1.png" descr="Resultado de imagen para LOGO OFICIAL ALCALDIA MAYOR DE BOGOTA SECRETARIA DISTRITAL DE DESARROLLO ECONOMICO"/>
                        <pic:cNvPicPr preferRelativeResize="0"/>
                      </pic:nvPicPr>
                      <pic:blipFill>
                        <a:blip r:embed="rId1"/>
                        <a:srcRect/>
                        <a:stretch>
                          <a:fillRect/>
                        </a:stretch>
                      </pic:blipFill>
                      <pic:spPr>
                        <a:xfrm>
                          <a:off x="0" y="0"/>
                          <a:ext cx="1076325" cy="835660"/>
                        </a:xfrm>
                        <a:prstGeom prst="rect">
                          <a:avLst/>
                        </a:prstGeom>
                        <a:ln/>
                      </pic:spPr>
                    </pic:pic>
                  </a:graphicData>
                </a:graphic>
              </wp:anchor>
            </w:drawing>
          </w:r>
        </w:p>
      </w:tc>
      <w:tc>
        <w:tcPr>
          <w:tcW w:w="1559" w:type="dxa"/>
          <w:vMerge w:val="restart"/>
          <w:tcBorders>
            <w:top w:val="single" w:sz="8" w:space="0" w:color="5B9BD5"/>
            <w:left w:val="single" w:sz="8" w:space="0" w:color="5B9BD5"/>
            <w:bottom w:val="single" w:sz="8" w:space="0" w:color="5B9BD5"/>
            <w:right w:val="single" w:sz="8" w:space="0" w:color="5B9BD5"/>
          </w:tcBorders>
          <w:shd w:val="clear" w:color="auto" w:fill="auto"/>
          <w:vAlign w:val="center"/>
        </w:tcPr>
        <w:p w14:paraId="77656094" w14:textId="77777777" w:rsidR="002022F1" w:rsidRDefault="002022F1">
          <w:pPr>
            <w:jc w:val="center"/>
            <w:rPr>
              <w:b/>
              <w:color w:val="000000"/>
              <w:sz w:val="20"/>
              <w:szCs w:val="20"/>
            </w:rPr>
          </w:pPr>
          <w:r>
            <w:rPr>
              <w:b/>
              <w:color w:val="000000"/>
              <w:sz w:val="20"/>
              <w:szCs w:val="20"/>
            </w:rPr>
            <w:t xml:space="preserve">Gestión Documental </w:t>
          </w:r>
        </w:p>
      </w:tc>
      <w:tc>
        <w:tcPr>
          <w:tcW w:w="1701" w:type="dxa"/>
          <w:tcBorders>
            <w:top w:val="single" w:sz="8" w:space="0" w:color="5B9BD5"/>
            <w:left w:val="nil"/>
            <w:bottom w:val="single" w:sz="8" w:space="0" w:color="5B9BD5"/>
            <w:right w:val="single" w:sz="8" w:space="0" w:color="5B9BD5"/>
          </w:tcBorders>
          <w:shd w:val="clear" w:color="auto" w:fill="auto"/>
          <w:vAlign w:val="center"/>
        </w:tcPr>
        <w:p w14:paraId="073700C9" w14:textId="77777777" w:rsidR="002022F1" w:rsidRDefault="002022F1">
          <w:pPr>
            <w:jc w:val="center"/>
            <w:rPr>
              <w:b/>
              <w:color w:val="000000"/>
              <w:sz w:val="18"/>
              <w:szCs w:val="18"/>
            </w:rPr>
          </w:pPr>
          <w:r>
            <w:rPr>
              <w:b/>
              <w:color w:val="000000"/>
              <w:sz w:val="18"/>
              <w:szCs w:val="18"/>
            </w:rPr>
            <w:t>Código:</w:t>
          </w:r>
        </w:p>
      </w:tc>
      <w:tc>
        <w:tcPr>
          <w:tcW w:w="2961" w:type="dxa"/>
          <w:tcBorders>
            <w:top w:val="single" w:sz="8" w:space="0" w:color="5B9BD5"/>
            <w:left w:val="nil"/>
            <w:bottom w:val="single" w:sz="8" w:space="0" w:color="5B9BD5"/>
            <w:right w:val="single" w:sz="8" w:space="0" w:color="5B9BD5"/>
          </w:tcBorders>
          <w:shd w:val="clear" w:color="auto" w:fill="auto"/>
          <w:vAlign w:val="center"/>
        </w:tcPr>
        <w:p w14:paraId="6425CB9A" w14:textId="77777777" w:rsidR="002022F1" w:rsidRDefault="002022F1">
          <w:pPr>
            <w:jc w:val="center"/>
            <w:rPr>
              <w:b/>
              <w:color w:val="000000"/>
              <w:sz w:val="18"/>
              <w:szCs w:val="18"/>
            </w:rPr>
          </w:pPr>
          <w:r>
            <w:rPr>
              <w:b/>
              <w:color w:val="000000"/>
              <w:sz w:val="18"/>
              <w:szCs w:val="18"/>
            </w:rPr>
            <w:t>GD-P1-F24</w:t>
          </w:r>
        </w:p>
      </w:tc>
      <w:tc>
        <w:tcPr>
          <w:tcW w:w="2123" w:type="dxa"/>
          <w:vMerge w:val="restart"/>
          <w:tcBorders>
            <w:top w:val="single" w:sz="8" w:space="0" w:color="5B9BD5"/>
            <w:left w:val="nil"/>
            <w:right w:val="single" w:sz="8" w:space="0" w:color="5B9BD5"/>
          </w:tcBorders>
          <w:vAlign w:val="center"/>
        </w:tcPr>
        <w:p w14:paraId="1900AFB6" w14:textId="77777777" w:rsidR="002022F1" w:rsidRDefault="002022F1">
          <w:pPr>
            <w:jc w:val="center"/>
            <w:rPr>
              <w:b/>
              <w:color w:val="000000"/>
            </w:rPr>
          </w:pPr>
          <w:r>
            <w:rPr>
              <w:noProof/>
            </w:rPr>
            <w:drawing>
              <wp:inline distT="0" distB="0" distL="0" distR="0" wp14:anchorId="72B284AB" wp14:editId="4598821E">
                <wp:extent cx="1238250" cy="1276350"/>
                <wp:effectExtent l="0" t="0" r="0" b="0"/>
                <wp:docPr id="583" name="image6.png" descr="SIG.bmp"/>
                <wp:cNvGraphicFramePr/>
                <a:graphic xmlns:a="http://schemas.openxmlformats.org/drawingml/2006/main">
                  <a:graphicData uri="http://schemas.openxmlformats.org/drawingml/2006/picture">
                    <pic:pic xmlns:pic="http://schemas.openxmlformats.org/drawingml/2006/picture">
                      <pic:nvPicPr>
                        <pic:cNvPr id="0" name="image6.png" descr="SIG.bmp"/>
                        <pic:cNvPicPr preferRelativeResize="0"/>
                      </pic:nvPicPr>
                      <pic:blipFill>
                        <a:blip r:embed="rId2"/>
                        <a:srcRect/>
                        <a:stretch>
                          <a:fillRect/>
                        </a:stretch>
                      </pic:blipFill>
                      <pic:spPr>
                        <a:xfrm>
                          <a:off x="0" y="0"/>
                          <a:ext cx="1238250" cy="1276350"/>
                        </a:xfrm>
                        <a:prstGeom prst="rect">
                          <a:avLst/>
                        </a:prstGeom>
                        <a:ln/>
                      </pic:spPr>
                    </pic:pic>
                  </a:graphicData>
                </a:graphic>
              </wp:inline>
            </w:drawing>
          </w:r>
        </w:p>
      </w:tc>
    </w:tr>
    <w:tr w:rsidR="002022F1" w14:paraId="2133B8E6" w14:textId="77777777">
      <w:trPr>
        <w:trHeight w:val="20"/>
      </w:trPr>
      <w:tc>
        <w:tcPr>
          <w:tcW w:w="1787" w:type="dxa"/>
          <w:vMerge/>
          <w:tcBorders>
            <w:top w:val="single" w:sz="8" w:space="0" w:color="5B9BD5"/>
            <w:left w:val="single" w:sz="8" w:space="0" w:color="5B9BD5"/>
            <w:right w:val="single" w:sz="8" w:space="0" w:color="5B9BD5"/>
          </w:tcBorders>
        </w:tcPr>
        <w:p w14:paraId="1A9DBD6E" w14:textId="77777777" w:rsidR="002022F1" w:rsidRDefault="002022F1">
          <w:pPr>
            <w:widowControl w:val="0"/>
            <w:pBdr>
              <w:top w:val="nil"/>
              <w:left w:val="nil"/>
              <w:bottom w:val="nil"/>
              <w:right w:val="nil"/>
              <w:between w:val="nil"/>
            </w:pBdr>
            <w:spacing w:line="276" w:lineRule="auto"/>
            <w:rPr>
              <w:b/>
              <w:color w:val="000000"/>
            </w:rPr>
          </w:pPr>
        </w:p>
      </w:tc>
      <w:tc>
        <w:tcPr>
          <w:tcW w:w="1559" w:type="dxa"/>
          <w:vMerge/>
          <w:tcBorders>
            <w:top w:val="single" w:sz="8" w:space="0" w:color="5B9BD5"/>
            <w:left w:val="single" w:sz="8" w:space="0" w:color="5B9BD5"/>
            <w:bottom w:val="single" w:sz="8" w:space="0" w:color="5B9BD5"/>
            <w:right w:val="single" w:sz="8" w:space="0" w:color="5B9BD5"/>
          </w:tcBorders>
          <w:shd w:val="clear" w:color="auto" w:fill="auto"/>
          <w:vAlign w:val="center"/>
        </w:tcPr>
        <w:p w14:paraId="3078DB6F" w14:textId="77777777" w:rsidR="002022F1" w:rsidRDefault="002022F1">
          <w:pPr>
            <w:widowControl w:val="0"/>
            <w:pBdr>
              <w:top w:val="nil"/>
              <w:left w:val="nil"/>
              <w:bottom w:val="nil"/>
              <w:right w:val="nil"/>
              <w:between w:val="nil"/>
            </w:pBdr>
            <w:spacing w:line="276" w:lineRule="auto"/>
            <w:rPr>
              <w:b/>
              <w:color w:val="000000"/>
            </w:rPr>
          </w:pPr>
        </w:p>
      </w:tc>
      <w:tc>
        <w:tcPr>
          <w:tcW w:w="1701" w:type="dxa"/>
          <w:tcBorders>
            <w:top w:val="nil"/>
            <w:left w:val="nil"/>
            <w:bottom w:val="single" w:sz="8" w:space="0" w:color="5B9BD5"/>
            <w:right w:val="single" w:sz="8" w:space="0" w:color="5B9BD5"/>
          </w:tcBorders>
          <w:shd w:val="clear" w:color="auto" w:fill="B4C6E7"/>
          <w:vAlign w:val="center"/>
        </w:tcPr>
        <w:p w14:paraId="27870D30" w14:textId="77777777" w:rsidR="002022F1" w:rsidRDefault="002022F1">
          <w:pPr>
            <w:jc w:val="center"/>
            <w:rPr>
              <w:b/>
              <w:color w:val="000000"/>
              <w:sz w:val="18"/>
              <w:szCs w:val="18"/>
            </w:rPr>
          </w:pPr>
          <w:r>
            <w:rPr>
              <w:b/>
              <w:color w:val="000000"/>
              <w:sz w:val="18"/>
              <w:szCs w:val="18"/>
            </w:rPr>
            <w:t>Versión:</w:t>
          </w:r>
        </w:p>
      </w:tc>
      <w:tc>
        <w:tcPr>
          <w:tcW w:w="2961" w:type="dxa"/>
          <w:tcBorders>
            <w:top w:val="nil"/>
            <w:left w:val="nil"/>
            <w:bottom w:val="single" w:sz="8" w:space="0" w:color="5B9BD5"/>
            <w:right w:val="single" w:sz="8" w:space="0" w:color="5B9BD5"/>
          </w:tcBorders>
          <w:shd w:val="clear" w:color="auto" w:fill="B4C6E7"/>
          <w:vAlign w:val="center"/>
        </w:tcPr>
        <w:p w14:paraId="0311B871" w14:textId="77777777" w:rsidR="002022F1" w:rsidRDefault="002022F1">
          <w:pPr>
            <w:jc w:val="center"/>
            <w:rPr>
              <w:b/>
              <w:color w:val="000000"/>
              <w:sz w:val="18"/>
              <w:szCs w:val="18"/>
            </w:rPr>
          </w:pPr>
          <w:r>
            <w:rPr>
              <w:b/>
              <w:color w:val="000000"/>
              <w:sz w:val="18"/>
              <w:szCs w:val="18"/>
            </w:rPr>
            <w:t>1</w:t>
          </w:r>
        </w:p>
      </w:tc>
      <w:tc>
        <w:tcPr>
          <w:tcW w:w="2123" w:type="dxa"/>
          <w:vMerge/>
          <w:tcBorders>
            <w:top w:val="single" w:sz="8" w:space="0" w:color="5B9BD5"/>
            <w:left w:val="nil"/>
            <w:right w:val="single" w:sz="8" w:space="0" w:color="5B9BD5"/>
          </w:tcBorders>
          <w:vAlign w:val="center"/>
        </w:tcPr>
        <w:p w14:paraId="59DD7DE6" w14:textId="77777777" w:rsidR="002022F1" w:rsidRDefault="002022F1">
          <w:pPr>
            <w:widowControl w:val="0"/>
            <w:pBdr>
              <w:top w:val="nil"/>
              <w:left w:val="nil"/>
              <w:bottom w:val="nil"/>
              <w:right w:val="nil"/>
              <w:between w:val="nil"/>
            </w:pBdr>
            <w:spacing w:line="276" w:lineRule="auto"/>
            <w:rPr>
              <w:b/>
              <w:color w:val="000000"/>
              <w:sz w:val="18"/>
              <w:szCs w:val="18"/>
            </w:rPr>
          </w:pPr>
        </w:p>
      </w:tc>
    </w:tr>
    <w:tr w:rsidR="002022F1" w14:paraId="78CE855E" w14:textId="77777777">
      <w:trPr>
        <w:trHeight w:val="20"/>
      </w:trPr>
      <w:tc>
        <w:tcPr>
          <w:tcW w:w="1787" w:type="dxa"/>
          <w:vMerge/>
          <w:tcBorders>
            <w:top w:val="single" w:sz="8" w:space="0" w:color="5B9BD5"/>
            <w:left w:val="single" w:sz="8" w:space="0" w:color="5B9BD5"/>
            <w:right w:val="single" w:sz="8" w:space="0" w:color="5B9BD5"/>
          </w:tcBorders>
        </w:tcPr>
        <w:p w14:paraId="58491FF4"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559" w:type="dxa"/>
          <w:vMerge/>
          <w:tcBorders>
            <w:top w:val="single" w:sz="8" w:space="0" w:color="5B9BD5"/>
            <w:left w:val="single" w:sz="8" w:space="0" w:color="5B9BD5"/>
            <w:bottom w:val="single" w:sz="8" w:space="0" w:color="5B9BD5"/>
            <w:right w:val="single" w:sz="8" w:space="0" w:color="5B9BD5"/>
          </w:tcBorders>
          <w:shd w:val="clear" w:color="auto" w:fill="auto"/>
          <w:vAlign w:val="center"/>
        </w:tcPr>
        <w:p w14:paraId="085BA9A9"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701" w:type="dxa"/>
          <w:tcBorders>
            <w:top w:val="nil"/>
            <w:left w:val="nil"/>
            <w:bottom w:val="single" w:sz="8" w:space="0" w:color="5B9BD5"/>
            <w:right w:val="single" w:sz="8" w:space="0" w:color="5B9BD5"/>
          </w:tcBorders>
          <w:shd w:val="clear" w:color="auto" w:fill="auto"/>
          <w:vAlign w:val="center"/>
        </w:tcPr>
        <w:p w14:paraId="3F887FF4" w14:textId="77777777" w:rsidR="002022F1" w:rsidRDefault="002022F1">
          <w:pPr>
            <w:jc w:val="center"/>
            <w:rPr>
              <w:b/>
              <w:color w:val="000000"/>
              <w:sz w:val="18"/>
              <w:szCs w:val="18"/>
            </w:rPr>
          </w:pPr>
          <w:r>
            <w:rPr>
              <w:b/>
              <w:color w:val="000000"/>
              <w:sz w:val="18"/>
              <w:szCs w:val="18"/>
            </w:rPr>
            <w:t>Fecha:</w:t>
          </w:r>
        </w:p>
      </w:tc>
      <w:tc>
        <w:tcPr>
          <w:tcW w:w="2961" w:type="dxa"/>
          <w:tcBorders>
            <w:top w:val="nil"/>
            <w:left w:val="nil"/>
            <w:bottom w:val="single" w:sz="8" w:space="0" w:color="5B9BD5"/>
            <w:right w:val="single" w:sz="8" w:space="0" w:color="5B9BD5"/>
          </w:tcBorders>
          <w:shd w:val="clear" w:color="auto" w:fill="auto"/>
          <w:vAlign w:val="center"/>
        </w:tcPr>
        <w:p w14:paraId="72A17905" w14:textId="77777777" w:rsidR="002022F1" w:rsidRDefault="002022F1">
          <w:pPr>
            <w:jc w:val="center"/>
            <w:rPr>
              <w:b/>
              <w:color w:val="000000"/>
              <w:sz w:val="18"/>
              <w:szCs w:val="18"/>
            </w:rPr>
          </w:pPr>
          <w:r>
            <w:rPr>
              <w:b/>
              <w:color w:val="000000"/>
              <w:sz w:val="18"/>
              <w:szCs w:val="18"/>
            </w:rPr>
            <w:t>Marzo 2019</w:t>
          </w:r>
        </w:p>
      </w:tc>
      <w:tc>
        <w:tcPr>
          <w:tcW w:w="2123" w:type="dxa"/>
          <w:vMerge/>
          <w:tcBorders>
            <w:top w:val="single" w:sz="8" w:space="0" w:color="5B9BD5"/>
            <w:left w:val="nil"/>
            <w:right w:val="single" w:sz="8" w:space="0" w:color="5B9BD5"/>
          </w:tcBorders>
          <w:vAlign w:val="center"/>
        </w:tcPr>
        <w:p w14:paraId="37ACBCAA" w14:textId="77777777" w:rsidR="002022F1" w:rsidRDefault="002022F1">
          <w:pPr>
            <w:widowControl w:val="0"/>
            <w:pBdr>
              <w:top w:val="nil"/>
              <w:left w:val="nil"/>
              <w:bottom w:val="nil"/>
              <w:right w:val="nil"/>
              <w:between w:val="nil"/>
            </w:pBdr>
            <w:spacing w:line="276" w:lineRule="auto"/>
            <w:rPr>
              <w:b/>
              <w:color w:val="000000"/>
              <w:sz w:val="18"/>
              <w:szCs w:val="18"/>
            </w:rPr>
          </w:pPr>
        </w:p>
      </w:tc>
    </w:tr>
    <w:tr w:rsidR="002022F1" w14:paraId="69CB3820" w14:textId="77777777">
      <w:trPr>
        <w:trHeight w:val="20"/>
      </w:trPr>
      <w:tc>
        <w:tcPr>
          <w:tcW w:w="1787" w:type="dxa"/>
          <w:vMerge/>
          <w:tcBorders>
            <w:top w:val="single" w:sz="8" w:space="0" w:color="5B9BD5"/>
            <w:left w:val="single" w:sz="8" w:space="0" w:color="5B9BD5"/>
            <w:right w:val="single" w:sz="8" w:space="0" w:color="5B9BD5"/>
          </w:tcBorders>
        </w:tcPr>
        <w:p w14:paraId="25DF6F85"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559" w:type="dxa"/>
          <w:vMerge w:val="restart"/>
          <w:tcBorders>
            <w:top w:val="nil"/>
            <w:left w:val="single" w:sz="8" w:space="0" w:color="5B9BD5"/>
            <w:bottom w:val="single" w:sz="8" w:space="0" w:color="5B9BD5"/>
            <w:right w:val="single" w:sz="8" w:space="0" w:color="5B9BD5"/>
          </w:tcBorders>
          <w:shd w:val="clear" w:color="auto" w:fill="B4C6E7"/>
          <w:vAlign w:val="center"/>
        </w:tcPr>
        <w:p w14:paraId="07C60B46" w14:textId="77777777" w:rsidR="002022F1" w:rsidRDefault="002022F1">
          <w:pPr>
            <w:jc w:val="center"/>
            <w:rPr>
              <w:b/>
              <w:color w:val="000000"/>
              <w:sz w:val="20"/>
              <w:szCs w:val="20"/>
            </w:rPr>
          </w:pPr>
          <w:r>
            <w:rPr>
              <w:b/>
              <w:color w:val="000000"/>
              <w:sz w:val="20"/>
              <w:szCs w:val="20"/>
            </w:rPr>
            <w:t>Informe</w:t>
          </w:r>
        </w:p>
      </w:tc>
      <w:tc>
        <w:tcPr>
          <w:tcW w:w="1701" w:type="dxa"/>
          <w:tcBorders>
            <w:top w:val="nil"/>
            <w:left w:val="nil"/>
            <w:bottom w:val="single" w:sz="8" w:space="0" w:color="5B9BD5"/>
            <w:right w:val="single" w:sz="8" w:space="0" w:color="5B9BD5"/>
          </w:tcBorders>
          <w:shd w:val="clear" w:color="auto" w:fill="B4C6E7"/>
          <w:vAlign w:val="center"/>
        </w:tcPr>
        <w:p w14:paraId="53AB3A9F" w14:textId="77777777" w:rsidR="002022F1" w:rsidRDefault="002022F1">
          <w:pPr>
            <w:jc w:val="center"/>
            <w:rPr>
              <w:b/>
              <w:color w:val="000000"/>
              <w:sz w:val="18"/>
              <w:szCs w:val="18"/>
            </w:rPr>
          </w:pPr>
          <w:r>
            <w:rPr>
              <w:b/>
              <w:color w:val="000000"/>
              <w:sz w:val="18"/>
              <w:szCs w:val="18"/>
            </w:rPr>
            <w:t>Página:</w:t>
          </w:r>
        </w:p>
      </w:tc>
      <w:tc>
        <w:tcPr>
          <w:tcW w:w="2961" w:type="dxa"/>
          <w:tcBorders>
            <w:top w:val="nil"/>
            <w:left w:val="nil"/>
            <w:bottom w:val="single" w:sz="8" w:space="0" w:color="5B9BD5"/>
            <w:right w:val="single" w:sz="8" w:space="0" w:color="5B9BD5"/>
          </w:tcBorders>
          <w:shd w:val="clear" w:color="auto" w:fill="B4C6E7"/>
          <w:vAlign w:val="center"/>
        </w:tcPr>
        <w:p w14:paraId="6AF4B675" w14:textId="65701653" w:rsidR="002022F1" w:rsidRDefault="002022F1">
          <w:pPr>
            <w:jc w:val="center"/>
            <w:rPr>
              <w:b/>
              <w:color w:val="000000"/>
              <w:sz w:val="18"/>
              <w:szCs w:val="18"/>
            </w:rPr>
          </w:pPr>
          <w:r>
            <w:rPr>
              <w:b/>
              <w:color w:val="000000"/>
              <w:sz w:val="18"/>
              <w:szCs w:val="18"/>
            </w:rPr>
            <w:t xml:space="preserve">Página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5031F7">
            <w:rPr>
              <w:b/>
              <w:noProof/>
              <w:color w:val="000000"/>
              <w:sz w:val="18"/>
              <w:szCs w:val="18"/>
            </w:rPr>
            <w:t>1</w:t>
          </w:r>
          <w:r>
            <w:rPr>
              <w:b/>
              <w:color w:val="000000"/>
              <w:sz w:val="18"/>
              <w:szCs w:val="18"/>
            </w:rPr>
            <w:fldChar w:fldCharType="end"/>
          </w:r>
          <w:r>
            <w:rPr>
              <w:b/>
              <w:color w:val="000000"/>
              <w:sz w:val="18"/>
              <w:szCs w:val="18"/>
            </w:rPr>
            <w:t xml:space="preserve"> de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5031F7">
            <w:rPr>
              <w:b/>
              <w:noProof/>
              <w:color w:val="000000"/>
              <w:sz w:val="18"/>
              <w:szCs w:val="18"/>
            </w:rPr>
            <w:t>28</w:t>
          </w:r>
          <w:r>
            <w:rPr>
              <w:b/>
              <w:color w:val="000000"/>
              <w:sz w:val="18"/>
              <w:szCs w:val="18"/>
            </w:rPr>
            <w:fldChar w:fldCharType="end"/>
          </w:r>
        </w:p>
      </w:tc>
      <w:tc>
        <w:tcPr>
          <w:tcW w:w="2123" w:type="dxa"/>
          <w:vMerge/>
          <w:tcBorders>
            <w:top w:val="single" w:sz="8" w:space="0" w:color="5B9BD5"/>
            <w:left w:val="nil"/>
            <w:right w:val="single" w:sz="8" w:space="0" w:color="5B9BD5"/>
          </w:tcBorders>
          <w:vAlign w:val="center"/>
        </w:tcPr>
        <w:p w14:paraId="49089865" w14:textId="77777777" w:rsidR="002022F1" w:rsidRDefault="002022F1">
          <w:pPr>
            <w:widowControl w:val="0"/>
            <w:pBdr>
              <w:top w:val="nil"/>
              <w:left w:val="nil"/>
              <w:bottom w:val="nil"/>
              <w:right w:val="nil"/>
              <w:between w:val="nil"/>
            </w:pBdr>
            <w:spacing w:line="276" w:lineRule="auto"/>
            <w:rPr>
              <w:b/>
              <w:color w:val="000000"/>
              <w:sz w:val="18"/>
              <w:szCs w:val="18"/>
            </w:rPr>
          </w:pPr>
        </w:p>
      </w:tc>
    </w:tr>
    <w:tr w:rsidR="002022F1" w14:paraId="4A084AC3" w14:textId="77777777">
      <w:trPr>
        <w:trHeight w:val="20"/>
      </w:trPr>
      <w:tc>
        <w:tcPr>
          <w:tcW w:w="1787" w:type="dxa"/>
          <w:vMerge/>
          <w:tcBorders>
            <w:top w:val="single" w:sz="8" w:space="0" w:color="5B9BD5"/>
            <w:left w:val="single" w:sz="8" w:space="0" w:color="5B9BD5"/>
            <w:right w:val="single" w:sz="8" w:space="0" w:color="5B9BD5"/>
          </w:tcBorders>
        </w:tcPr>
        <w:p w14:paraId="343510DF"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559" w:type="dxa"/>
          <w:vMerge/>
          <w:tcBorders>
            <w:top w:val="nil"/>
            <w:left w:val="single" w:sz="8" w:space="0" w:color="5B9BD5"/>
            <w:bottom w:val="single" w:sz="8" w:space="0" w:color="5B9BD5"/>
            <w:right w:val="single" w:sz="8" w:space="0" w:color="5B9BD5"/>
          </w:tcBorders>
          <w:shd w:val="clear" w:color="auto" w:fill="B4C6E7"/>
          <w:vAlign w:val="center"/>
        </w:tcPr>
        <w:p w14:paraId="72D50E67"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701" w:type="dxa"/>
          <w:tcBorders>
            <w:top w:val="nil"/>
            <w:left w:val="nil"/>
            <w:bottom w:val="single" w:sz="8" w:space="0" w:color="5B9BD5"/>
            <w:right w:val="single" w:sz="8" w:space="0" w:color="5B9BD5"/>
          </w:tcBorders>
          <w:shd w:val="clear" w:color="auto" w:fill="auto"/>
          <w:vAlign w:val="center"/>
        </w:tcPr>
        <w:p w14:paraId="72968BFD" w14:textId="77777777" w:rsidR="002022F1" w:rsidRDefault="002022F1">
          <w:pPr>
            <w:jc w:val="center"/>
            <w:rPr>
              <w:b/>
              <w:color w:val="000000"/>
              <w:sz w:val="18"/>
              <w:szCs w:val="18"/>
            </w:rPr>
          </w:pPr>
          <w:r>
            <w:rPr>
              <w:b/>
              <w:color w:val="000000"/>
              <w:sz w:val="18"/>
              <w:szCs w:val="18"/>
            </w:rPr>
            <w:t>Elaborado por:</w:t>
          </w:r>
        </w:p>
      </w:tc>
      <w:tc>
        <w:tcPr>
          <w:tcW w:w="2961" w:type="dxa"/>
          <w:tcBorders>
            <w:top w:val="nil"/>
            <w:left w:val="nil"/>
            <w:bottom w:val="single" w:sz="8" w:space="0" w:color="5B9BD5"/>
            <w:right w:val="single" w:sz="8" w:space="0" w:color="5B9BD5"/>
          </w:tcBorders>
          <w:shd w:val="clear" w:color="auto" w:fill="auto"/>
          <w:vAlign w:val="center"/>
        </w:tcPr>
        <w:p w14:paraId="14854B72" w14:textId="77777777" w:rsidR="002022F1" w:rsidRDefault="002022F1">
          <w:pPr>
            <w:jc w:val="center"/>
            <w:rPr>
              <w:b/>
              <w:color w:val="000000"/>
              <w:sz w:val="18"/>
              <w:szCs w:val="18"/>
            </w:rPr>
          </w:pPr>
          <w:r>
            <w:rPr>
              <w:b/>
              <w:color w:val="000000"/>
              <w:sz w:val="18"/>
              <w:szCs w:val="18"/>
            </w:rPr>
            <w:t>Liliana Nieto D.</w:t>
          </w:r>
        </w:p>
        <w:p w14:paraId="58AC027E" w14:textId="77777777" w:rsidR="002022F1" w:rsidRDefault="002022F1">
          <w:pPr>
            <w:jc w:val="center"/>
            <w:rPr>
              <w:b/>
              <w:color w:val="000000"/>
              <w:sz w:val="18"/>
              <w:szCs w:val="18"/>
            </w:rPr>
          </w:pPr>
          <w:r>
            <w:rPr>
              <w:b/>
              <w:color w:val="000000"/>
              <w:sz w:val="18"/>
              <w:szCs w:val="18"/>
            </w:rPr>
            <w:t>Profesional Especializado OAP</w:t>
          </w:r>
        </w:p>
      </w:tc>
      <w:tc>
        <w:tcPr>
          <w:tcW w:w="2123" w:type="dxa"/>
          <w:vMerge/>
          <w:tcBorders>
            <w:top w:val="single" w:sz="8" w:space="0" w:color="5B9BD5"/>
            <w:left w:val="nil"/>
            <w:right w:val="single" w:sz="8" w:space="0" w:color="5B9BD5"/>
          </w:tcBorders>
          <w:vAlign w:val="center"/>
        </w:tcPr>
        <w:p w14:paraId="59E890CF" w14:textId="77777777" w:rsidR="002022F1" w:rsidRDefault="002022F1">
          <w:pPr>
            <w:widowControl w:val="0"/>
            <w:pBdr>
              <w:top w:val="nil"/>
              <w:left w:val="nil"/>
              <w:bottom w:val="nil"/>
              <w:right w:val="nil"/>
              <w:between w:val="nil"/>
            </w:pBdr>
            <w:spacing w:line="276" w:lineRule="auto"/>
            <w:rPr>
              <w:b/>
              <w:color w:val="000000"/>
              <w:sz w:val="18"/>
              <w:szCs w:val="18"/>
            </w:rPr>
          </w:pPr>
        </w:p>
      </w:tc>
    </w:tr>
    <w:tr w:rsidR="002022F1" w14:paraId="0EC80CC7" w14:textId="77777777">
      <w:trPr>
        <w:trHeight w:val="20"/>
      </w:trPr>
      <w:tc>
        <w:tcPr>
          <w:tcW w:w="1787" w:type="dxa"/>
          <w:vMerge/>
          <w:tcBorders>
            <w:top w:val="single" w:sz="8" w:space="0" w:color="5B9BD5"/>
            <w:left w:val="single" w:sz="8" w:space="0" w:color="5B9BD5"/>
            <w:right w:val="single" w:sz="8" w:space="0" w:color="5B9BD5"/>
          </w:tcBorders>
        </w:tcPr>
        <w:p w14:paraId="3B28F474"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559" w:type="dxa"/>
          <w:vMerge/>
          <w:tcBorders>
            <w:top w:val="nil"/>
            <w:left w:val="single" w:sz="8" w:space="0" w:color="5B9BD5"/>
            <w:bottom w:val="single" w:sz="8" w:space="0" w:color="5B9BD5"/>
            <w:right w:val="single" w:sz="8" w:space="0" w:color="5B9BD5"/>
          </w:tcBorders>
          <w:shd w:val="clear" w:color="auto" w:fill="B4C6E7"/>
          <w:vAlign w:val="center"/>
        </w:tcPr>
        <w:p w14:paraId="2D36E946"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701" w:type="dxa"/>
          <w:tcBorders>
            <w:top w:val="nil"/>
            <w:left w:val="nil"/>
            <w:bottom w:val="single" w:sz="8" w:space="0" w:color="5B9BD5"/>
            <w:right w:val="single" w:sz="8" w:space="0" w:color="5B9BD5"/>
          </w:tcBorders>
          <w:shd w:val="clear" w:color="auto" w:fill="B4C6E7"/>
          <w:vAlign w:val="center"/>
        </w:tcPr>
        <w:p w14:paraId="2E9FE1D2" w14:textId="77777777" w:rsidR="002022F1" w:rsidRDefault="002022F1">
          <w:pPr>
            <w:jc w:val="center"/>
            <w:rPr>
              <w:b/>
              <w:color w:val="000000"/>
              <w:sz w:val="18"/>
              <w:szCs w:val="18"/>
            </w:rPr>
          </w:pPr>
          <w:r>
            <w:rPr>
              <w:b/>
              <w:color w:val="000000"/>
              <w:sz w:val="18"/>
              <w:szCs w:val="18"/>
            </w:rPr>
            <w:t>Revisado por:</w:t>
          </w:r>
        </w:p>
      </w:tc>
      <w:tc>
        <w:tcPr>
          <w:tcW w:w="2961" w:type="dxa"/>
          <w:tcBorders>
            <w:top w:val="nil"/>
            <w:left w:val="nil"/>
            <w:bottom w:val="single" w:sz="8" w:space="0" w:color="5B9BD5"/>
            <w:right w:val="single" w:sz="8" w:space="0" w:color="5B9BD5"/>
          </w:tcBorders>
          <w:shd w:val="clear" w:color="auto" w:fill="B4C6E7"/>
          <w:vAlign w:val="center"/>
        </w:tcPr>
        <w:p w14:paraId="46A70264" w14:textId="77777777" w:rsidR="002022F1" w:rsidRDefault="002022F1">
          <w:pPr>
            <w:jc w:val="center"/>
            <w:rPr>
              <w:b/>
              <w:color w:val="000000"/>
              <w:sz w:val="18"/>
              <w:szCs w:val="18"/>
            </w:rPr>
          </w:pPr>
          <w:r>
            <w:rPr>
              <w:b/>
              <w:color w:val="000000"/>
              <w:sz w:val="18"/>
              <w:szCs w:val="18"/>
            </w:rPr>
            <w:t>Javier Suárez</w:t>
          </w:r>
        </w:p>
        <w:p w14:paraId="10138CA6" w14:textId="77777777" w:rsidR="002022F1" w:rsidRDefault="002022F1">
          <w:pPr>
            <w:jc w:val="center"/>
            <w:rPr>
              <w:b/>
              <w:color w:val="000000"/>
              <w:sz w:val="18"/>
              <w:szCs w:val="18"/>
            </w:rPr>
          </w:pPr>
          <w:r>
            <w:rPr>
              <w:b/>
              <w:color w:val="000000"/>
              <w:sz w:val="18"/>
              <w:szCs w:val="18"/>
            </w:rPr>
            <w:t>Profesional SAF</w:t>
          </w:r>
        </w:p>
      </w:tc>
      <w:tc>
        <w:tcPr>
          <w:tcW w:w="2123" w:type="dxa"/>
          <w:vMerge/>
          <w:tcBorders>
            <w:top w:val="single" w:sz="8" w:space="0" w:color="5B9BD5"/>
            <w:left w:val="nil"/>
            <w:right w:val="single" w:sz="8" w:space="0" w:color="5B9BD5"/>
          </w:tcBorders>
          <w:vAlign w:val="center"/>
        </w:tcPr>
        <w:p w14:paraId="5907795F" w14:textId="77777777" w:rsidR="002022F1" w:rsidRDefault="002022F1">
          <w:pPr>
            <w:widowControl w:val="0"/>
            <w:pBdr>
              <w:top w:val="nil"/>
              <w:left w:val="nil"/>
              <w:bottom w:val="nil"/>
              <w:right w:val="nil"/>
              <w:between w:val="nil"/>
            </w:pBdr>
            <w:spacing w:line="276" w:lineRule="auto"/>
            <w:rPr>
              <w:b/>
              <w:color w:val="000000"/>
              <w:sz w:val="18"/>
              <w:szCs w:val="18"/>
            </w:rPr>
          </w:pPr>
        </w:p>
      </w:tc>
    </w:tr>
    <w:tr w:rsidR="002022F1" w14:paraId="7503B753" w14:textId="77777777">
      <w:trPr>
        <w:trHeight w:val="20"/>
      </w:trPr>
      <w:tc>
        <w:tcPr>
          <w:tcW w:w="1787" w:type="dxa"/>
          <w:vMerge/>
          <w:tcBorders>
            <w:top w:val="single" w:sz="8" w:space="0" w:color="5B9BD5"/>
            <w:left w:val="single" w:sz="8" w:space="0" w:color="5B9BD5"/>
            <w:right w:val="single" w:sz="8" w:space="0" w:color="5B9BD5"/>
          </w:tcBorders>
        </w:tcPr>
        <w:p w14:paraId="2B9EEAE9"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559" w:type="dxa"/>
          <w:vMerge/>
          <w:tcBorders>
            <w:top w:val="nil"/>
            <w:left w:val="single" w:sz="8" w:space="0" w:color="5B9BD5"/>
            <w:bottom w:val="single" w:sz="8" w:space="0" w:color="5B9BD5"/>
            <w:right w:val="single" w:sz="8" w:space="0" w:color="5B9BD5"/>
          </w:tcBorders>
          <w:shd w:val="clear" w:color="auto" w:fill="B4C6E7"/>
          <w:vAlign w:val="center"/>
        </w:tcPr>
        <w:p w14:paraId="0AA6C477"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701" w:type="dxa"/>
          <w:tcBorders>
            <w:top w:val="nil"/>
            <w:left w:val="nil"/>
            <w:bottom w:val="single" w:sz="8" w:space="0" w:color="5B9BD5"/>
            <w:right w:val="single" w:sz="8" w:space="0" w:color="5B9BD5"/>
          </w:tcBorders>
          <w:shd w:val="clear" w:color="auto" w:fill="auto"/>
          <w:vAlign w:val="center"/>
        </w:tcPr>
        <w:p w14:paraId="3ACBB836" w14:textId="77777777" w:rsidR="002022F1" w:rsidRDefault="002022F1">
          <w:pPr>
            <w:jc w:val="center"/>
            <w:rPr>
              <w:b/>
              <w:color w:val="000000"/>
              <w:sz w:val="18"/>
              <w:szCs w:val="18"/>
            </w:rPr>
          </w:pPr>
          <w:r>
            <w:rPr>
              <w:b/>
              <w:color w:val="000000"/>
              <w:sz w:val="18"/>
              <w:szCs w:val="18"/>
            </w:rPr>
            <w:t>Aprobado por:</w:t>
          </w:r>
        </w:p>
      </w:tc>
      <w:tc>
        <w:tcPr>
          <w:tcW w:w="2961" w:type="dxa"/>
          <w:tcBorders>
            <w:top w:val="nil"/>
            <w:left w:val="nil"/>
            <w:bottom w:val="single" w:sz="8" w:space="0" w:color="5B9BD5"/>
            <w:right w:val="single" w:sz="8" w:space="0" w:color="5B9BD5"/>
          </w:tcBorders>
          <w:shd w:val="clear" w:color="auto" w:fill="auto"/>
          <w:vAlign w:val="center"/>
        </w:tcPr>
        <w:p w14:paraId="3466C530" w14:textId="77777777" w:rsidR="002022F1" w:rsidRDefault="002022F1">
          <w:pPr>
            <w:jc w:val="center"/>
            <w:rPr>
              <w:b/>
              <w:color w:val="000000"/>
              <w:sz w:val="18"/>
              <w:szCs w:val="18"/>
            </w:rPr>
          </w:pPr>
          <w:r>
            <w:rPr>
              <w:b/>
              <w:color w:val="000000"/>
              <w:sz w:val="18"/>
              <w:szCs w:val="18"/>
            </w:rPr>
            <w:t xml:space="preserve">Juan Armando Miranda </w:t>
          </w:r>
        </w:p>
        <w:p w14:paraId="65A7868C" w14:textId="77777777" w:rsidR="002022F1" w:rsidRDefault="002022F1">
          <w:pPr>
            <w:jc w:val="center"/>
            <w:rPr>
              <w:b/>
              <w:color w:val="000000"/>
              <w:sz w:val="18"/>
              <w:szCs w:val="18"/>
            </w:rPr>
          </w:pPr>
          <w:r>
            <w:rPr>
              <w:b/>
              <w:color w:val="000000"/>
              <w:sz w:val="18"/>
              <w:szCs w:val="18"/>
            </w:rPr>
            <w:t>Subdirector Administrativo y Financiero</w:t>
          </w:r>
        </w:p>
      </w:tc>
      <w:tc>
        <w:tcPr>
          <w:tcW w:w="2123" w:type="dxa"/>
          <w:vMerge/>
          <w:tcBorders>
            <w:top w:val="single" w:sz="8" w:space="0" w:color="5B9BD5"/>
            <w:left w:val="nil"/>
            <w:right w:val="single" w:sz="8" w:space="0" w:color="5B9BD5"/>
          </w:tcBorders>
          <w:vAlign w:val="center"/>
        </w:tcPr>
        <w:p w14:paraId="66E186F8" w14:textId="77777777" w:rsidR="002022F1" w:rsidRDefault="002022F1">
          <w:pPr>
            <w:widowControl w:val="0"/>
            <w:pBdr>
              <w:top w:val="nil"/>
              <w:left w:val="nil"/>
              <w:bottom w:val="nil"/>
              <w:right w:val="nil"/>
              <w:between w:val="nil"/>
            </w:pBdr>
            <w:spacing w:line="276" w:lineRule="auto"/>
            <w:rPr>
              <w:b/>
              <w:color w:val="000000"/>
              <w:sz w:val="18"/>
              <w:szCs w:val="18"/>
            </w:rPr>
          </w:pPr>
        </w:p>
      </w:tc>
    </w:tr>
  </w:tbl>
  <w:p w14:paraId="2A9CE630" w14:textId="77777777" w:rsidR="002022F1" w:rsidRDefault="002022F1">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45272" w14:textId="77777777" w:rsidR="002022F1" w:rsidRDefault="002022F1">
    <w:pPr>
      <w:widowControl w:val="0"/>
      <w:pBdr>
        <w:top w:val="nil"/>
        <w:left w:val="nil"/>
        <w:bottom w:val="nil"/>
        <w:right w:val="nil"/>
        <w:between w:val="nil"/>
      </w:pBdr>
      <w:spacing w:after="0"/>
      <w:rPr>
        <w:color w:val="000000"/>
        <w:sz w:val="20"/>
        <w:szCs w:val="20"/>
      </w:rPr>
    </w:pPr>
  </w:p>
  <w:tbl>
    <w:tblPr>
      <w:tblStyle w:val="a6"/>
      <w:tblW w:w="10131" w:type="dxa"/>
      <w:tblInd w:w="-640" w:type="dxa"/>
      <w:tblLayout w:type="fixed"/>
      <w:tblLook w:val="0400" w:firstRow="0" w:lastRow="0" w:firstColumn="0" w:lastColumn="0" w:noHBand="0" w:noVBand="1"/>
    </w:tblPr>
    <w:tblGrid>
      <w:gridCol w:w="1787"/>
      <w:gridCol w:w="1559"/>
      <w:gridCol w:w="1701"/>
      <w:gridCol w:w="2961"/>
      <w:gridCol w:w="2123"/>
    </w:tblGrid>
    <w:tr w:rsidR="002022F1" w14:paraId="33B98ED6" w14:textId="77777777">
      <w:trPr>
        <w:trHeight w:val="20"/>
      </w:trPr>
      <w:tc>
        <w:tcPr>
          <w:tcW w:w="1787" w:type="dxa"/>
          <w:vMerge w:val="restart"/>
          <w:tcBorders>
            <w:top w:val="single" w:sz="8" w:space="0" w:color="5B9BD5"/>
            <w:left w:val="single" w:sz="8" w:space="0" w:color="5B9BD5"/>
            <w:right w:val="single" w:sz="8" w:space="0" w:color="5B9BD5"/>
          </w:tcBorders>
        </w:tcPr>
        <w:p w14:paraId="02DBAF5E" w14:textId="77777777" w:rsidR="002022F1" w:rsidRDefault="002022F1">
          <w:pPr>
            <w:jc w:val="center"/>
            <w:rPr>
              <w:b/>
              <w:color w:val="000000"/>
            </w:rPr>
          </w:pPr>
          <w:r>
            <w:rPr>
              <w:noProof/>
            </w:rPr>
            <w:drawing>
              <wp:anchor distT="0" distB="0" distL="114300" distR="114300" simplePos="0" relativeHeight="251659264" behindDoc="0" locked="0" layoutInCell="1" hidden="0" allowOverlap="1" wp14:anchorId="06C48541" wp14:editId="3C38C59C">
                <wp:simplePos x="0" y="0"/>
                <wp:positionH relativeFrom="column">
                  <wp:posOffset>-39368</wp:posOffset>
                </wp:positionH>
                <wp:positionV relativeFrom="paragraph">
                  <wp:posOffset>325755</wp:posOffset>
                </wp:positionV>
                <wp:extent cx="1076325" cy="835660"/>
                <wp:effectExtent l="0" t="0" r="0" b="0"/>
                <wp:wrapNone/>
                <wp:docPr id="586" name="image1.png" descr="Resultado de imagen para LOGO OFICIAL ALCALDIA MAYOR DE BOGOTA SECRETARIA DISTRITAL DE DESARROLLO ECONOMICO"/>
                <wp:cNvGraphicFramePr/>
                <a:graphic xmlns:a="http://schemas.openxmlformats.org/drawingml/2006/main">
                  <a:graphicData uri="http://schemas.openxmlformats.org/drawingml/2006/picture">
                    <pic:pic xmlns:pic="http://schemas.openxmlformats.org/drawingml/2006/picture">
                      <pic:nvPicPr>
                        <pic:cNvPr id="0" name="image1.png" descr="Resultado de imagen para LOGO OFICIAL ALCALDIA MAYOR DE BOGOTA SECRETARIA DISTRITAL DE DESARROLLO ECONOMICO"/>
                        <pic:cNvPicPr preferRelativeResize="0"/>
                      </pic:nvPicPr>
                      <pic:blipFill>
                        <a:blip r:embed="rId1"/>
                        <a:srcRect/>
                        <a:stretch>
                          <a:fillRect/>
                        </a:stretch>
                      </pic:blipFill>
                      <pic:spPr>
                        <a:xfrm>
                          <a:off x="0" y="0"/>
                          <a:ext cx="1076325" cy="835660"/>
                        </a:xfrm>
                        <a:prstGeom prst="rect">
                          <a:avLst/>
                        </a:prstGeom>
                        <a:ln/>
                      </pic:spPr>
                    </pic:pic>
                  </a:graphicData>
                </a:graphic>
              </wp:anchor>
            </w:drawing>
          </w:r>
        </w:p>
      </w:tc>
      <w:tc>
        <w:tcPr>
          <w:tcW w:w="1559" w:type="dxa"/>
          <w:vMerge w:val="restart"/>
          <w:tcBorders>
            <w:top w:val="single" w:sz="8" w:space="0" w:color="5B9BD5"/>
            <w:left w:val="single" w:sz="8" w:space="0" w:color="5B9BD5"/>
            <w:bottom w:val="single" w:sz="8" w:space="0" w:color="5B9BD5"/>
            <w:right w:val="single" w:sz="8" w:space="0" w:color="5B9BD5"/>
          </w:tcBorders>
          <w:shd w:val="clear" w:color="auto" w:fill="auto"/>
          <w:vAlign w:val="center"/>
        </w:tcPr>
        <w:p w14:paraId="40E3555B" w14:textId="77777777" w:rsidR="002022F1" w:rsidRDefault="002022F1">
          <w:pPr>
            <w:jc w:val="center"/>
            <w:rPr>
              <w:b/>
              <w:color w:val="000000"/>
              <w:sz w:val="20"/>
              <w:szCs w:val="20"/>
            </w:rPr>
          </w:pPr>
          <w:r>
            <w:rPr>
              <w:b/>
              <w:color w:val="000000"/>
              <w:sz w:val="20"/>
              <w:szCs w:val="20"/>
            </w:rPr>
            <w:t xml:space="preserve">Gestión Documental </w:t>
          </w:r>
        </w:p>
      </w:tc>
      <w:tc>
        <w:tcPr>
          <w:tcW w:w="1701" w:type="dxa"/>
          <w:tcBorders>
            <w:top w:val="single" w:sz="8" w:space="0" w:color="5B9BD5"/>
            <w:left w:val="nil"/>
            <w:bottom w:val="single" w:sz="8" w:space="0" w:color="5B9BD5"/>
            <w:right w:val="single" w:sz="8" w:space="0" w:color="5B9BD5"/>
          </w:tcBorders>
          <w:shd w:val="clear" w:color="auto" w:fill="auto"/>
          <w:vAlign w:val="center"/>
        </w:tcPr>
        <w:p w14:paraId="6C4E6457" w14:textId="77777777" w:rsidR="002022F1" w:rsidRDefault="002022F1">
          <w:pPr>
            <w:jc w:val="center"/>
            <w:rPr>
              <w:b/>
              <w:color w:val="000000"/>
              <w:sz w:val="18"/>
              <w:szCs w:val="18"/>
            </w:rPr>
          </w:pPr>
          <w:r>
            <w:rPr>
              <w:b/>
              <w:color w:val="000000"/>
              <w:sz w:val="18"/>
              <w:szCs w:val="18"/>
            </w:rPr>
            <w:t>Código:</w:t>
          </w:r>
        </w:p>
      </w:tc>
      <w:tc>
        <w:tcPr>
          <w:tcW w:w="2961" w:type="dxa"/>
          <w:tcBorders>
            <w:top w:val="single" w:sz="8" w:space="0" w:color="5B9BD5"/>
            <w:left w:val="nil"/>
            <w:bottom w:val="single" w:sz="8" w:space="0" w:color="5B9BD5"/>
            <w:right w:val="single" w:sz="8" w:space="0" w:color="5B9BD5"/>
          </w:tcBorders>
          <w:shd w:val="clear" w:color="auto" w:fill="auto"/>
          <w:vAlign w:val="center"/>
        </w:tcPr>
        <w:p w14:paraId="166C5E1C" w14:textId="77777777" w:rsidR="002022F1" w:rsidRDefault="002022F1">
          <w:pPr>
            <w:jc w:val="center"/>
            <w:rPr>
              <w:b/>
              <w:color w:val="000000"/>
              <w:sz w:val="18"/>
              <w:szCs w:val="18"/>
            </w:rPr>
          </w:pPr>
          <w:r>
            <w:rPr>
              <w:b/>
              <w:color w:val="000000"/>
              <w:sz w:val="18"/>
              <w:szCs w:val="18"/>
            </w:rPr>
            <w:t>PE-P18-F1</w:t>
          </w:r>
        </w:p>
      </w:tc>
      <w:tc>
        <w:tcPr>
          <w:tcW w:w="2123" w:type="dxa"/>
          <w:vMerge w:val="restart"/>
          <w:tcBorders>
            <w:top w:val="single" w:sz="8" w:space="0" w:color="5B9BD5"/>
            <w:left w:val="nil"/>
            <w:right w:val="single" w:sz="8" w:space="0" w:color="5B9BD5"/>
          </w:tcBorders>
          <w:vAlign w:val="center"/>
        </w:tcPr>
        <w:p w14:paraId="56631F6D" w14:textId="77777777" w:rsidR="002022F1" w:rsidRDefault="002022F1">
          <w:pPr>
            <w:jc w:val="center"/>
            <w:rPr>
              <w:b/>
              <w:color w:val="000000"/>
            </w:rPr>
          </w:pPr>
          <w:r>
            <w:rPr>
              <w:noProof/>
            </w:rPr>
            <w:drawing>
              <wp:inline distT="0" distB="0" distL="0" distR="0" wp14:anchorId="6901D7F2" wp14:editId="06C65CCC">
                <wp:extent cx="1238250" cy="1276350"/>
                <wp:effectExtent l="0" t="0" r="0" b="0"/>
                <wp:docPr id="582" name="image6.png" descr="SIG.bmp"/>
                <wp:cNvGraphicFramePr/>
                <a:graphic xmlns:a="http://schemas.openxmlformats.org/drawingml/2006/main">
                  <a:graphicData uri="http://schemas.openxmlformats.org/drawingml/2006/picture">
                    <pic:pic xmlns:pic="http://schemas.openxmlformats.org/drawingml/2006/picture">
                      <pic:nvPicPr>
                        <pic:cNvPr id="0" name="image6.png" descr="SIG.bmp"/>
                        <pic:cNvPicPr preferRelativeResize="0"/>
                      </pic:nvPicPr>
                      <pic:blipFill>
                        <a:blip r:embed="rId2"/>
                        <a:srcRect/>
                        <a:stretch>
                          <a:fillRect/>
                        </a:stretch>
                      </pic:blipFill>
                      <pic:spPr>
                        <a:xfrm>
                          <a:off x="0" y="0"/>
                          <a:ext cx="1238250" cy="1276350"/>
                        </a:xfrm>
                        <a:prstGeom prst="rect">
                          <a:avLst/>
                        </a:prstGeom>
                        <a:ln/>
                      </pic:spPr>
                    </pic:pic>
                  </a:graphicData>
                </a:graphic>
              </wp:inline>
            </w:drawing>
          </w:r>
        </w:p>
      </w:tc>
    </w:tr>
    <w:tr w:rsidR="002022F1" w14:paraId="51D2AFB9" w14:textId="77777777">
      <w:trPr>
        <w:trHeight w:val="20"/>
      </w:trPr>
      <w:tc>
        <w:tcPr>
          <w:tcW w:w="1787" w:type="dxa"/>
          <w:vMerge/>
          <w:tcBorders>
            <w:top w:val="single" w:sz="8" w:space="0" w:color="5B9BD5"/>
            <w:left w:val="single" w:sz="8" w:space="0" w:color="5B9BD5"/>
            <w:right w:val="single" w:sz="8" w:space="0" w:color="5B9BD5"/>
          </w:tcBorders>
        </w:tcPr>
        <w:p w14:paraId="70A97358" w14:textId="77777777" w:rsidR="002022F1" w:rsidRDefault="002022F1">
          <w:pPr>
            <w:widowControl w:val="0"/>
            <w:pBdr>
              <w:top w:val="nil"/>
              <w:left w:val="nil"/>
              <w:bottom w:val="nil"/>
              <w:right w:val="nil"/>
              <w:between w:val="nil"/>
            </w:pBdr>
            <w:spacing w:line="276" w:lineRule="auto"/>
            <w:rPr>
              <w:b/>
              <w:color w:val="000000"/>
            </w:rPr>
          </w:pPr>
        </w:p>
      </w:tc>
      <w:tc>
        <w:tcPr>
          <w:tcW w:w="1559" w:type="dxa"/>
          <w:vMerge/>
          <w:tcBorders>
            <w:top w:val="single" w:sz="8" w:space="0" w:color="5B9BD5"/>
            <w:left w:val="single" w:sz="8" w:space="0" w:color="5B9BD5"/>
            <w:bottom w:val="single" w:sz="8" w:space="0" w:color="5B9BD5"/>
            <w:right w:val="single" w:sz="8" w:space="0" w:color="5B9BD5"/>
          </w:tcBorders>
          <w:shd w:val="clear" w:color="auto" w:fill="auto"/>
          <w:vAlign w:val="center"/>
        </w:tcPr>
        <w:p w14:paraId="2FBADB60" w14:textId="77777777" w:rsidR="002022F1" w:rsidRDefault="002022F1">
          <w:pPr>
            <w:widowControl w:val="0"/>
            <w:pBdr>
              <w:top w:val="nil"/>
              <w:left w:val="nil"/>
              <w:bottom w:val="nil"/>
              <w:right w:val="nil"/>
              <w:between w:val="nil"/>
            </w:pBdr>
            <w:spacing w:line="276" w:lineRule="auto"/>
            <w:rPr>
              <w:b/>
              <w:color w:val="000000"/>
            </w:rPr>
          </w:pPr>
        </w:p>
      </w:tc>
      <w:tc>
        <w:tcPr>
          <w:tcW w:w="1701" w:type="dxa"/>
          <w:tcBorders>
            <w:top w:val="nil"/>
            <w:left w:val="nil"/>
            <w:bottom w:val="single" w:sz="8" w:space="0" w:color="5B9BD5"/>
            <w:right w:val="single" w:sz="8" w:space="0" w:color="5B9BD5"/>
          </w:tcBorders>
          <w:shd w:val="clear" w:color="auto" w:fill="B4C6E7"/>
          <w:vAlign w:val="center"/>
        </w:tcPr>
        <w:p w14:paraId="2E7EB4A3" w14:textId="77777777" w:rsidR="002022F1" w:rsidRDefault="002022F1">
          <w:pPr>
            <w:jc w:val="center"/>
            <w:rPr>
              <w:b/>
              <w:color w:val="000000"/>
              <w:sz w:val="18"/>
              <w:szCs w:val="18"/>
            </w:rPr>
          </w:pPr>
          <w:r>
            <w:rPr>
              <w:b/>
              <w:color w:val="000000"/>
              <w:sz w:val="18"/>
              <w:szCs w:val="18"/>
            </w:rPr>
            <w:t>Versión:</w:t>
          </w:r>
        </w:p>
      </w:tc>
      <w:tc>
        <w:tcPr>
          <w:tcW w:w="2961" w:type="dxa"/>
          <w:tcBorders>
            <w:top w:val="nil"/>
            <w:left w:val="nil"/>
            <w:bottom w:val="single" w:sz="8" w:space="0" w:color="5B9BD5"/>
            <w:right w:val="single" w:sz="8" w:space="0" w:color="5B9BD5"/>
          </w:tcBorders>
          <w:shd w:val="clear" w:color="auto" w:fill="B4C6E7"/>
          <w:vAlign w:val="center"/>
        </w:tcPr>
        <w:p w14:paraId="4DE4A4FC" w14:textId="77777777" w:rsidR="002022F1" w:rsidRDefault="002022F1">
          <w:pPr>
            <w:jc w:val="center"/>
            <w:rPr>
              <w:b/>
              <w:color w:val="000000"/>
              <w:sz w:val="18"/>
              <w:szCs w:val="18"/>
            </w:rPr>
          </w:pPr>
          <w:r>
            <w:rPr>
              <w:b/>
              <w:color w:val="000000"/>
              <w:sz w:val="18"/>
              <w:szCs w:val="18"/>
            </w:rPr>
            <w:t>1</w:t>
          </w:r>
        </w:p>
      </w:tc>
      <w:tc>
        <w:tcPr>
          <w:tcW w:w="2123" w:type="dxa"/>
          <w:vMerge/>
          <w:tcBorders>
            <w:top w:val="single" w:sz="8" w:space="0" w:color="5B9BD5"/>
            <w:left w:val="nil"/>
            <w:right w:val="single" w:sz="8" w:space="0" w:color="5B9BD5"/>
          </w:tcBorders>
          <w:vAlign w:val="center"/>
        </w:tcPr>
        <w:p w14:paraId="579A343B" w14:textId="77777777" w:rsidR="002022F1" w:rsidRDefault="002022F1">
          <w:pPr>
            <w:widowControl w:val="0"/>
            <w:pBdr>
              <w:top w:val="nil"/>
              <w:left w:val="nil"/>
              <w:bottom w:val="nil"/>
              <w:right w:val="nil"/>
              <w:between w:val="nil"/>
            </w:pBdr>
            <w:spacing w:line="276" w:lineRule="auto"/>
            <w:rPr>
              <w:b/>
              <w:color w:val="000000"/>
              <w:sz w:val="18"/>
              <w:szCs w:val="18"/>
            </w:rPr>
          </w:pPr>
        </w:p>
      </w:tc>
    </w:tr>
    <w:tr w:rsidR="002022F1" w14:paraId="4FA7729B" w14:textId="77777777">
      <w:trPr>
        <w:trHeight w:val="20"/>
      </w:trPr>
      <w:tc>
        <w:tcPr>
          <w:tcW w:w="1787" w:type="dxa"/>
          <w:vMerge/>
          <w:tcBorders>
            <w:top w:val="single" w:sz="8" w:space="0" w:color="5B9BD5"/>
            <w:left w:val="single" w:sz="8" w:space="0" w:color="5B9BD5"/>
            <w:right w:val="single" w:sz="8" w:space="0" w:color="5B9BD5"/>
          </w:tcBorders>
        </w:tcPr>
        <w:p w14:paraId="1AAC2274"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559" w:type="dxa"/>
          <w:vMerge/>
          <w:tcBorders>
            <w:top w:val="single" w:sz="8" w:space="0" w:color="5B9BD5"/>
            <w:left w:val="single" w:sz="8" w:space="0" w:color="5B9BD5"/>
            <w:bottom w:val="single" w:sz="8" w:space="0" w:color="5B9BD5"/>
            <w:right w:val="single" w:sz="8" w:space="0" w:color="5B9BD5"/>
          </w:tcBorders>
          <w:shd w:val="clear" w:color="auto" w:fill="auto"/>
          <w:vAlign w:val="center"/>
        </w:tcPr>
        <w:p w14:paraId="58B2723D"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701" w:type="dxa"/>
          <w:tcBorders>
            <w:top w:val="nil"/>
            <w:left w:val="nil"/>
            <w:bottom w:val="single" w:sz="8" w:space="0" w:color="5B9BD5"/>
            <w:right w:val="single" w:sz="8" w:space="0" w:color="5B9BD5"/>
          </w:tcBorders>
          <w:shd w:val="clear" w:color="auto" w:fill="auto"/>
          <w:vAlign w:val="center"/>
        </w:tcPr>
        <w:p w14:paraId="50D56D8B" w14:textId="77777777" w:rsidR="002022F1" w:rsidRDefault="002022F1">
          <w:pPr>
            <w:jc w:val="center"/>
            <w:rPr>
              <w:b/>
              <w:color w:val="000000"/>
              <w:sz w:val="18"/>
              <w:szCs w:val="18"/>
            </w:rPr>
          </w:pPr>
          <w:r>
            <w:rPr>
              <w:b/>
              <w:color w:val="000000"/>
              <w:sz w:val="18"/>
              <w:szCs w:val="18"/>
            </w:rPr>
            <w:t>Fecha:</w:t>
          </w:r>
        </w:p>
      </w:tc>
      <w:tc>
        <w:tcPr>
          <w:tcW w:w="2961" w:type="dxa"/>
          <w:tcBorders>
            <w:top w:val="nil"/>
            <w:left w:val="nil"/>
            <w:bottom w:val="single" w:sz="8" w:space="0" w:color="5B9BD5"/>
            <w:right w:val="single" w:sz="8" w:space="0" w:color="5B9BD5"/>
          </w:tcBorders>
          <w:shd w:val="clear" w:color="auto" w:fill="auto"/>
          <w:vAlign w:val="center"/>
        </w:tcPr>
        <w:p w14:paraId="26D8501B" w14:textId="77777777" w:rsidR="002022F1" w:rsidRDefault="002022F1">
          <w:pPr>
            <w:jc w:val="center"/>
            <w:rPr>
              <w:b/>
              <w:color w:val="000000"/>
              <w:sz w:val="18"/>
              <w:szCs w:val="18"/>
            </w:rPr>
          </w:pPr>
          <w:r>
            <w:rPr>
              <w:b/>
              <w:color w:val="000000"/>
              <w:sz w:val="18"/>
              <w:szCs w:val="18"/>
            </w:rPr>
            <w:t>Febrero 2019</w:t>
          </w:r>
        </w:p>
      </w:tc>
      <w:tc>
        <w:tcPr>
          <w:tcW w:w="2123" w:type="dxa"/>
          <w:vMerge/>
          <w:tcBorders>
            <w:top w:val="single" w:sz="8" w:space="0" w:color="5B9BD5"/>
            <w:left w:val="nil"/>
            <w:right w:val="single" w:sz="8" w:space="0" w:color="5B9BD5"/>
          </w:tcBorders>
          <w:vAlign w:val="center"/>
        </w:tcPr>
        <w:p w14:paraId="5385D0C8" w14:textId="77777777" w:rsidR="002022F1" w:rsidRDefault="002022F1">
          <w:pPr>
            <w:widowControl w:val="0"/>
            <w:pBdr>
              <w:top w:val="nil"/>
              <w:left w:val="nil"/>
              <w:bottom w:val="nil"/>
              <w:right w:val="nil"/>
              <w:between w:val="nil"/>
            </w:pBdr>
            <w:spacing w:line="276" w:lineRule="auto"/>
            <w:rPr>
              <w:b/>
              <w:color w:val="000000"/>
              <w:sz w:val="18"/>
              <w:szCs w:val="18"/>
            </w:rPr>
          </w:pPr>
        </w:p>
      </w:tc>
    </w:tr>
    <w:tr w:rsidR="002022F1" w14:paraId="319B37DB" w14:textId="77777777">
      <w:trPr>
        <w:trHeight w:val="20"/>
      </w:trPr>
      <w:tc>
        <w:tcPr>
          <w:tcW w:w="1787" w:type="dxa"/>
          <w:vMerge/>
          <w:tcBorders>
            <w:top w:val="single" w:sz="8" w:space="0" w:color="5B9BD5"/>
            <w:left w:val="single" w:sz="8" w:space="0" w:color="5B9BD5"/>
            <w:right w:val="single" w:sz="8" w:space="0" w:color="5B9BD5"/>
          </w:tcBorders>
        </w:tcPr>
        <w:p w14:paraId="65E47800"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559" w:type="dxa"/>
          <w:vMerge w:val="restart"/>
          <w:tcBorders>
            <w:top w:val="nil"/>
            <w:left w:val="single" w:sz="8" w:space="0" w:color="5B9BD5"/>
            <w:bottom w:val="single" w:sz="8" w:space="0" w:color="5B9BD5"/>
            <w:right w:val="single" w:sz="8" w:space="0" w:color="5B9BD5"/>
          </w:tcBorders>
          <w:shd w:val="clear" w:color="auto" w:fill="B4C6E7"/>
          <w:vAlign w:val="center"/>
        </w:tcPr>
        <w:p w14:paraId="08DC9416" w14:textId="77777777" w:rsidR="002022F1" w:rsidRDefault="002022F1">
          <w:pPr>
            <w:jc w:val="center"/>
            <w:rPr>
              <w:b/>
              <w:color w:val="000000"/>
              <w:sz w:val="20"/>
              <w:szCs w:val="20"/>
            </w:rPr>
          </w:pPr>
          <w:r>
            <w:rPr>
              <w:b/>
              <w:color w:val="000000"/>
              <w:sz w:val="20"/>
              <w:szCs w:val="20"/>
            </w:rPr>
            <w:t>Informe</w:t>
          </w:r>
        </w:p>
      </w:tc>
      <w:tc>
        <w:tcPr>
          <w:tcW w:w="1701" w:type="dxa"/>
          <w:tcBorders>
            <w:top w:val="nil"/>
            <w:left w:val="nil"/>
            <w:bottom w:val="single" w:sz="8" w:space="0" w:color="5B9BD5"/>
            <w:right w:val="single" w:sz="8" w:space="0" w:color="5B9BD5"/>
          </w:tcBorders>
          <w:shd w:val="clear" w:color="auto" w:fill="B4C6E7"/>
          <w:vAlign w:val="center"/>
        </w:tcPr>
        <w:p w14:paraId="1129BBAE" w14:textId="77777777" w:rsidR="002022F1" w:rsidRDefault="002022F1">
          <w:pPr>
            <w:jc w:val="center"/>
            <w:rPr>
              <w:b/>
              <w:color w:val="000000"/>
              <w:sz w:val="18"/>
              <w:szCs w:val="18"/>
            </w:rPr>
          </w:pPr>
          <w:r>
            <w:rPr>
              <w:b/>
              <w:color w:val="000000"/>
              <w:sz w:val="18"/>
              <w:szCs w:val="18"/>
            </w:rPr>
            <w:t>Página:</w:t>
          </w:r>
        </w:p>
      </w:tc>
      <w:tc>
        <w:tcPr>
          <w:tcW w:w="2961" w:type="dxa"/>
          <w:tcBorders>
            <w:top w:val="nil"/>
            <w:left w:val="nil"/>
            <w:bottom w:val="single" w:sz="8" w:space="0" w:color="5B9BD5"/>
            <w:right w:val="single" w:sz="8" w:space="0" w:color="5B9BD5"/>
          </w:tcBorders>
          <w:shd w:val="clear" w:color="auto" w:fill="B4C6E7"/>
          <w:vAlign w:val="center"/>
        </w:tcPr>
        <w:p w14:paraId="0911B1B8" w14:textId="32D3F02F" w:rsidR="002022F1" w:rsidRDefault="002022F1">
          <w:pPr>
            <w:jc w:val="center"/>
            <w:rPr>
              <w:b/>
              <w:color w:val="000000"/>
              <w:sz w:val="18"/>
              <w:szCs w:val="18"/>
            </w:rPr>
          </w:pPr>
          <w:r>
            <w:rPr>
              <w:b/>
              <w:color w:val="000000"/>
              <w:sz w:val="18"/>
              <w:szCs w:val="18"/>
            </w:rPr>
            <w:t xml:space="preserve">Página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5031F7">
            <w:rPr>
              <w:b/>
              <w:noProof/>
              <w:color w:val="000000"/>
              <w:sz w:val="18"/>
              <w:szCs w:val="18"/>
            </w:rPr>
            <w:t>0</w:t>
          </w:r>
          <w:r>
            <w:rPr>
              <w:b/>
              <w:color w:val="000000"/>
              <w:sz w:val="18"/>
              <w:szCs w:val="18"/>
            </w:rPr>
            <w:fldChar w:fldCharType="end"/>
          </w:r>
          <w:r>
            <w:rPr>
              <w:b/>
              <w:color w:val="000000"/>
              <w:sz w:val="18"/>
              <w:szCs w:val="18"/>
            </w:rPr>
            <w:t xml:space="preserve"> de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5031F7">
            <w:rPr>
              <w:b/>
              <w:noProof/>
              <w:color w:val="000000"/>
              <w:sz w:val="18"/>
              <w:szCs w:val="18"/>
            </w:rPr>
            <w:t>28</w:t>
          </w:r>
          <w:r>
            <w:rPr>
              <w:b/>
              <w:color w:val="000000"/>
              <w:sz w:val="18"/>
              <w:szCs w:val="18"/>
            </w:rPr>
            <w:fldChar w:fldCharType="end"/>
          </w:r>
        </w:p>
      </w:tc>
      <w:tc>
        <w:tcPr>
          <w:tcW w:w="2123" w:type="dxa"/>
          <w:vMerge/>
          <w:tcBorders>
            <w:top w:val="single" w:sz="8" w:space="0" w:color="5B9BD5"/>
            <w:left w:val="nil"/>
            <w:right w:val="single" w:sz="8" w:space="0" w:color="5B9BD5"/>
          </w:tcBorders>
          <w:vAlign w:val="center"/>
        </w:tcPr>
        <w:p w14:paraId="06DB9978" w14:textId="77777777" w:rsidR="002022F1" w:rsidRDefault="002022F1">
          <w:pPr>
            <w:widowControl w:val="0"/>
            <w:pBdr>
              <w:top w:val="nil"/>
              <w:left w:val="nil"/>
              <w:bottom w:val="nil"/>
              <w:right w:val="nil"/>
              <w:between w:val="nil"/>
            </w:pBdr>
            <w:spacing w:line="276" w:lineRule="auto"/>
            <w:rPr>
              <w:b/>
              <w:color w:val="000000"/>
              <w:sz w:val="18"/>
              <w:szCs w:val="18"/>
            </w:rPr>
          </w:pPr>
        </w:p>
      </w:tc>
    </w:tr>
    <w:tr w:rsidR="002022F1" w14:paraId="75B3366A" w14:textId="77777777">
      <w:trPr>
        <w:trHeight w:val="20"/>
      </w:trPr>
      <w:tc>
        <w:tcPr>
          <w:tcW w:w="1787" w:type="dxa"/>
          <w:vMerge/>
          <w:tcBorders>
            <w:top w:val="single" w:sz="8" w:space="0" w:color="5B9BD5"/>
            <w:left w:val="single" w:sz="8" w:space="0" w:color="5B9BD5"/>
            <w:right w:val="single" w:sz="8" w:space="0" w:color="5B9BD5"/>
          </w:tcBorders>
        </w:tcPr>
        <w:p w14:paraId="2ABAAD4B"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559" w:type="dxa"/>
          <w:vMerge/>
          <w:tcBorders>
            <w:top w:val="nil"/>
            <w:left w:val="single" w:sz="8" w:space="0" w:color="5B9BD5"/>
            <w:bottom w:val="single" w:sz="8" w:space="0" w:color="5B9BD5"/>
            <w:right w:val="single" w:sz="8" w:space="0" w:color="5B9BD5"/>
          </w:tcBorders>
          <w:shd w:val="clear" w:color="auto" w:fill="B4C6E7"/>
          <w:vAlign w:val="center"/>
        </w:tcPr>
        <w:p w14:paraId="5696DCD4"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701" w:type="dxa"/>
          <w:tcBorders>
            <w:top w:val="nil"/>
            <w:left w:val="nil"/>
            <w:bottom w:val="single" w:sz="8" w:space="0" w:color="5B9BD5"/>
            <w:right w:val="single" w:sz="8" w:space="0" w:color="5B9BD5"/>
          </w:tcBorders>
          <w:shd w:val="clear" w:color="auto" w:fill="auto"/>
          <w:vAlign w:val="center"/>
        </w:tcPr>
        <w:p w14:paraId="74A28EE6" w14:textId="77777777" w:rsidR="002022F1" w:rsidRDefault="002022F1">
          <w:pPr>
            <w:jc w:val="center"/>
            <w:rPr>
              <w:b/>
              <w:color w:val="000000"/>
              <w:sz w:val="18"/>
              <w:szCs w:val="18"/>
            </w:rPr>
          </w:pPr>
          <w:r>
            <w:rPr>
              <w:b/>
              <w:color w:val="000000"/>
              <w:sz w:val="18"/>
              <w:szCs w:val="18"/>
            </w:rPr>
            <w:t>Elaborado por:</w:t>
          </w:r>
        </w:p>
      </w:tc>
      <w:tc>
        <w:tcPr>
          <w:tcW w:w="2961" w:type="dxa"/>
          <w:tcBorders>
            <w:top w:val="nil"/>
            <w:left w:val="nil"/>
            <w:bottom w:val="single" w:sz="8" w:space="0" w:color="5B9BD5"/>
            <w:right w:val="single" w:sz="8" w:space="0" w:color="5B9BD5"/>
          </w:tcBorders>
          <w:shd w:val="clear" w:color="auto" w:fill="auto"/>
          <w:vAlign w:val="center"/>
        </w:tcPr>
        <w:p w14:paraId="1B50FE40" w14:textId="77777777" w:rsidR="002022F1" w:rsidRDefault="002022F1">
          <w:pPr>
            <w:jc w:val="center"/>
            <w:rPr>
              <w:b/>
              <w:color w:val="000000"/>
              <w:sz w:val="18"/>
              <w:szCs w:val="18"/>
            </w:rPr>
          </w:pPr>
          <w:r>
            <w:rPr>
              <w:b/>
              <w:color w:val="000000"/>
              <w:sz w:val="18"/>
              <w:szCs w:val="18"/>
            </w:rPr>
            <w:t>XXXXXXXXXX</w:t>
          </w:r>
        </w:p>
        <w:p w14:paraId="0D3697EC" w14:textId="77777777" w:rsidR="002022F1" w:rsidRDefault="002022F1">
          <w:pPr>
            <w:jc w:val="center"/>
            <w:rPr>
              <w:b/>
              <w:color w:val="000000"/>
              <w:sz w:val="18"/>
              <w:szCs w:val="18"/>
            </w:rPr>
          </w:pPr>
          <w:r>
            <w:rPr>
              <w:b/>
              <w:color w:val="000000"/>
              <w:sz w:val="18"/>
              <w:szCs w:val="18"/>
            </w:rPr>
            <w:t>xxxxxxx</w:t>
          </w:r>
        </w:p>
      </w:tc>
      <w:tc>
        <w:tcPr>
          <w:tcW w:w="2123" w:type="dxa"/>
          <w:vMerge/>
          <w:tcBorders>
            <w:top w:val="single" w:sz="8" w:space="0" w:color="5B9BD5"/>
            <w:left w:val="nil"/>
            <w:right w:val="single" w:sz="8" w:space="0" w:color="5B9BD5"/>
          </w:tcBorders>
          <w:vAlign w:val="center"/>
        </w:tcPr>
        <w:p w14:paraId="026EF4D5" w14:textId="77777777" w:rsidR="002022F1" w:rsidRDefault="002022F1">
          <w:pPr>
            <w:widowControl w:val="0"/>
            <w:pBdr>
              <w:top w:val="nil"/>
              <w:left w:val="nil"/>
              <w:bottom w:val="nil"/>
              <w:right w:val="nil"/>
              <w:between w:val="nil"/>
            </w:pBdr>
            <w:spacing w:line="276" w:lineRule="auto"/>
            <w:rPr>
              <w:b/>
              <w:color w:val="000000"/>
              <w:sz w:val="18"/>
              <w:szCs w:val="18"/>
            </w:rPr>
          </w:pPr>
        </w:p>
      </w:tc>
    </w:tr>
    <w:tr w:rsidR="002022F1" w14:paraId="25D2479F" w14:textId="77777777">
      <w:trPr>
        <w:trHeight w:val="20"/>
      </w:trPr>
      <w:tc>
        <w:tcPr>
          <w:tcW w:w="1787" w:type="dxa"/>
          <w:vMerge/>
          <w:tcBorders>
            <w:top w:val="single" w:sz="8" w:space="0" w:color="5B9BD5"/>
            <w:left w:val="single" w:sz="8" w:space="0" w:color="5B9BD5"/>
            <w:right w:val="single" w:sz="8" w:space="0" w:color="5B9BD5"/>
          </w:tcBorders>
        </w:tcPr>
        <w:p w14:paraId="773B72B3"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559" w:type="dxa"/>
          <w:vMerge/>
          <w:tcBorders>
            <w:top w:val="nil"/>
            <w:left w:val="single" w:sz="8" w:space="0" w:color="5B9BD5"/>
            <w:bottom w:val="single" w:sz="8" w:space="0" w:color="5B9BD5"/>
            <w:right w:val="single" w:sz="8" w:space="0" w:color="5B9BD5"/>
          </w:tcBorders>
          <w:shd w:val="clear" w:color="auto" w:fill="B4C6E7"/>
          <w:vAlign w:val="center"/>
        </w:tcPr>
        <w:p w14:paraId="3EAC270D"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701" w:type="dxa"/>
          <w:tcBorders>
            <w:top w:val="nil"/>
            <w:left w:val="nil"/>
            <w:bottom w:val="single" w:sz="8" w:space="0" w:color="5B9BD5"/>
            <w:right w:val="single" w:sz="8" w:space="0" w:color="5B9BD5"/>
          </w:tcBorders>
          <w:shd w:val="clear" w:color="auto" w:fill="B4C6E7"/>
          <w:vAlign w:val="center"/>
        </w:tcPr>
        <w:p w14:paraId="6D62F875" w14:textId="77777777" w:rsidR="002022F1" w:rsidRDefault="002022F1">
          <w:pPr>
            <w:jc w:val="center"/>
            <w:rPr>
              <w:b/>
              <w:color w:val="000000"/>
              <w:sz w:val="18"/>
              <w:szCs w:val="18"/>
            </w:rPr>
          </w:pPr>
          <w:r>
            <w:rPr>
              <w:b/>
              <w:color w:val="000000"/>
              <w:sz w:val="18"/>
              <w:szCs w:val="18"/>
            </w:rPr>
            <w:t>Revisado por:</w:t>
          </w:r>
        </w:p>
      </w:tc>
      <w:tc>
        <w:tcPr>
          <w:tcW w:w="2961" w:type="dxa"/>
          <w:tcBorders>
            <w:top w:val="nil"/>
            <w:left w:val="nil"/>
            <w:bottom w:val="single" w:sz="8" w:space="0" w:color="5B9BD5"/>
            <w:right w:val="single" w:sz="8" w:space="0" w:color="5B9BD5"/>
          </w:tcBorders>
          <w:shd w:val="clear" w:color="auto" w:fill="B4C6E7"/>
          <w:vAlign w:val="center"/>
        </w:tcPr>
        <w:p w14:paraId="08E29F70" w14:textId="77777777" w:rsidR="002022F1" w:rsidRDefault="002022F1">
          <w:pPr>
            <w:jc w:val="center"/>
            <w:rPr>
              <w:b/>
              <w:color w:val="000000"/>
              <w:sz w:val="18"/>
              <w:szCs w:val="18"/>
            </w:rPr>
          </w:pPr>
          <w:r>
            <w:rPr>
              <w:b/>
              <w:color w:val="000000"/>
              <w:sz w:val="18"/>
              <w:szCs w:val="18"/>
            </w:rPr>
            <w:t>XXXXXXXXXXX</w:t>
          </w:r>
        </w:p>
        <w:p w14:paraId="790B33C5" w14:textId="77777777" w:rsidR="002022F1" w:rsidRDefault="002022F1">
          <w:pPr>
            <w:jc w:val="center"/>
            <w:rPr>
              <w:b/>
              <w:color w:val="000000"/>
              <w:sz w:val="18"/>
              <w:szCs w:val="18"/>
            </w:rPr>
          </w:pPr>
          <w:r>
            <w:rPr>
              <w:b/>
              <w:color w:val="000000"/>
              <w:sz w:val="18"/>
              <w:szCs w:val="18"/>
            </w:rPr>
            <w:t>xxxxxxx</w:t>
          </w:r>
        </w:p>
      </w:tc>
      <w:tc>
        <w:tcPr>
          <w:tcW w:w="2123" w:type="dxa"/>
          <w:vMerge/>
          <w:tcBorders>
            <w:top w:val="single" w:sz="8" w:space="0" w:color="5B9BD5"/>
            <w:left w:val="nil"/>
            <w:right w:val="single" w:sz="8" w:space="0" w:color="5B9BD5"/>
          </w:tcBorders>
          <w:vAlign w:val="center"/>
        </w:tcPr>
        <w:p w14:paraId="3DCE1396" w14:textId="77777777" w:rsidR="002022F1" w:rsidRDefault="002022F1">
          <w:pPr>
            <w:widowControl w:val="0"/>
            <w:pBdr>
              <w:top w:val="nil"/>
              <w:left w:val="nil"/>
              <w:bottom w:val="nil"/>
              <w:right w:val="nil"/>
              <w:between w:val="nil"/>
            </w:pBdr>
            <w:spacing w:line="276" w:lineRule="auto"/>
            <w:rPr>
              <w:b/>
              <w:color w:val="000000"/>
              <w:sz w:val="18"/>
              <w:szCs w:val="18"/>
            </w:rPr>
          </w:pPr>
        </w:p>
      </w:tc>
    </w:tr>
    <w:tr w:rsidR="002022F1" w14:paraId="32090DC5" w14:textId="77777777">
      <w:trPr>
        <w:trHeight w:val="20"/>
      </w:trPr>
      <w:tc>
        <w:tcPr>
          <w:tcW w:w="1787" w:type="dxa"/>
          <w:vMerge/>
          <w:tcBorders>
            <w:top w:val="single" w:sz="8" w:space="0" w:color="5B9BD5"/>
            <w:left w:val="single" w:sz="8" w:space="0" w:color="5B9BD5"/>
            <w:right w:val="single" w:sz="8" w:space="0" w:color="5B9BD5"/>
          </w:tcBorders>
        </w:tcPr>
        <w:p w14:paraId="0F126858"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559" w:type="dxa"/>
          <w:vMerge/>
          <w:tcBorders>
            <w:top w:val="nil"/>
            <w:left w:val="single" w:sz="8" w:space="0" w:color="5B9BD5"/>
            <w:bottom w:val="single" w:sz="8" w:space="0" w:color="5B9BD5"/>
            <w:right w:val="single" w:sz="8" w:space="0" w:color="5B9BD5"/>
          </w:tcBorders>
          <w:shd w:val="clear" w:color="auto" w:fill="B4C6E7"/>
          <w:vAlign w:val="center"/>
        </w:tcPr>
        <w:p w14:paraId="5039B9AE"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701" w:type="dxa"/>
          <w:tcBorders>
            <w:top w:val="nil"/>
            <w:left w:val="nil"/>
            <w:bottom w:val="single" w:sz="8" w:space="0" w:color="5B9BD5"/>
            <w:right w:val="single" w:sz="8" w:space="0" w:color="5B9BD5"/>
          </w:tcBorders>
          <w:shd w:val="clear" w:color="auto" w:fill="auto"/>
          <w:vAlign w:val="center"/>
        </w:tcPr>
        <w:p w14:paraId="51952D83" w14:textId="77777777" w:rsidR="002022F1" w:rsidRDefault="002022F1">
          <w:pPr>
            <w:jc w:val="center"/>
            <w:rPr>
              <w:b/>
              <w:color w:val="000000"/>
              <w:sz w:val="18"/>
              <w:szCs w:val="18"/>
            </w:rPr>
          </w:pPr>
          <w:r>
            <w:rPr>
              <w:b/>
              <w:color w:val="000000"/>
              <w:sz w:val="18"/>
              <w:szCs w:val="18"/>
            </w:rPr>
            <w:t>Aprobado por:</w:t>
          </w:r>
        </w:p>
      </w:tc>
      <w:tc>
        <w:tcPr>
          <w:tcW w:w="2961" w:type="dxa"/>
          <w:tcBorders>
            <w:top w:val="nil"/>
            <w:left w:val="nil"/>
            <w:bottom w:val="single" w:sz="8" w:space="0" w:color="5B9BD5"/>
            <w:right w:val="single" w:sz="8" w:space="0" w:color="5B9BD5"/>
          </w:tcBorders>
          <w:shd w:val="clear" w:color="auto" w:fill="auto"/>
          <w:vAlign w:val="center"/>
        </w:tcPr>
        <w:p w14:paraId="62FFEA9B" w14:textId="77777777" w:rsidR="002022F1" w:rsidRDefault="002022F1">
          <w:pPr>
            <w:jc w:val="center"/>
            <w:rPr>
              <w:b/>
              <w:color w:val="000000"/>
              <w:sz w:val="18"/>
              <w:szCs w:val="18"/>
            </w:rPr>
          </w:pPr>
          <w:r>
            <w:rPr>
              <w:b/>
              <w:color w:val="000000"/>
              <w:sz w:val="18"/>
              <w:szCs w:val="18"/>
            </w:rPr>
            <w:t>XXXXXXXXXXX</w:t>
          </w:r>
        </w:p>
        <w:p w14:paraId="0ED82B5B" w14:textId="77777777" w:rsidR="002022F1" w:rsidRDefault="002022F1">
          <w:pPr>
            <w:jc w:val="center"/>
            <w:rPr>
              <w:b/>
              <w:color w:val="000000"/>
              <w:sz w:val="18"/>
              <w:szCs w:val="18"/>
            </w:rPr>
          </w:pPr>
          <w:r>
            <w:rPr>
              <w:b/>
              <w:color w:val="000000"/>
              <w:sz w:val="18"/>
              <w:szCs w:val="18"/>
            </w:rPr>
            <w:t>xxxxxxx</w:t>
          </w:r>
        </w:p>
      </w:tc>
      <w:tc>
        <w:tcPr>
          <w:tcW w:w="2123" w:type="dxa"/>
          <w:vMerge/>
          <w:tcBorders>
            <w:top w:val="single" w:sz="8" w:space="0" w:color="5B9BD5"/>
            <w:left w:val="nil"/>
            <w:right w:val="single" w:sz="8" w:space="0" w:color="5B9BD5"/>
          </w:tcBorders>
          <w:vAlign w:val="center"/>
        </w:tcPr>
        <w:p w14:paraId="1603FCE1" w14:textId="77777777" w:rsidR="002022F1" w:rsidRDefault="002022F1">
          <w:pPr>
            <w:widowControl w:val="0"/>
            <w:pBdr>
              <w:top w:val="nil"/>
              <w:left w:val="nil"/>
              <w:bottom w:val="nil"/>
              <w:right w:val="nil"/>
              <w:between w:val="nil"/>
            </w:pBdr>
            <w:spacing w:line="276" w:lineRule="auto"/>
            <w:rPr>
              <w:b/>
              <w:color w:val="000000"/>
              <w:sz w:val="18"/>
              <w:szCs w:val="18"/>
            </w:rPr>
          </w:pPr>
        </w:p>
      </w:tc>
    </w:tr>
  </w:tbl>
  <w:p w14:paraId="206203BA" w14:textId="77777777" w:rsidR="002022F1" w:rsidRDefault="002022F1">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C54B6" w14:textId="77777777" w:rsidR="00D065EA" w:rsidRDefault="00D065EA">
    <w:pPr>
      <w:widowControl w:val="0"/>
      <w:pBdr>
        <w:top w:val="nil"/>
        <w:left w:val="nil"/>
        <w:bottom w:val="nil"/>
        <w:right w:val="nil"/>
        <w:between w:val="nil"/>
      </w:pBdr>
      <w:spacing w:after="0"/>
      <w:rPr>
        <w:color w:val="000000"/>
      </w:rPr>
    </w:pPr>
  </w:p>
  <w:p w14:paraId="153FA125" w14:textId="77777777" w:rsidR="00D065EA" w:rsidRDefault="00D065EA">
    <w:pPr>
      <w:pBdr>
        <w:top w:val="nil"/>
        <w:left w:val="nil"/>
        <w:bottom w:val="nil"/>
        <w:right w:val="nil"/>
        <w:between w:val="nil"/>
      </w:pBdr>
      <w:tabs>
        <w:tab w:val="center" w:pos="4419"/>
        <w:tab w:val="right" w:pos="8838"/>
      </w:tabs>
      <w:spacing w:after="0" w:line="240" w:lineRule="auto"/>
    </w:pPr>
  </w:p>
  <w:p w14:paraId="4515C3B6" w14:textId="77777777" w:rsidR="00D065EA" w:rsidRDefault="00D065EA">
    <w:pPr>
      <w:pBdr>
        <w:top w:val="nil"/>
        <w:left w:val="nil"/>
        <w:bottom w:val="nil"/>
        <w:right w:val="nil"/>
        <w:between w:val="nil"/>
      </w:pBdr>
      <w:tabs>
        <w:tab w:val="center" w:pos="4419"/>
        <w:tab w:val="right" w:pos="8838"/>
      </w:tabs>
      <w:spacing w:after="0" w:line="24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19C04" w14:textId="77777777" w:rsidR="002022F1" w:rsidRDefault="002022F1">
    <w:pPr>
      <w:widowControl w:val="0"/>
      <w:pBdr>
        <w:top w:val="nil"/>
        <w:left w:val="nil"/>
        <w:bottom w:val="nil"/>
        <w:right w:val="nil"/>
        <w:between w:val="nil"/>
      </w:pBdr>
      <w:spacing w:after="0"/>
      <w:rPr>
        <w:color w:val="000000"/>
      </w:rPr>
    </w:pPr>
  </w:p>
  <w:tbl>
    <w:tblPr>
      <w:tblStyle w:val="a9"/>
      <w:tblW w:w="10131" w:type="dxa"/>
      <w:tblInd w:w="-640" w:type="dxa"/>
      <w:tblLayout w:type="fixed"/>
      <w:tblLook w:val="0400" w:firstRow="0" w:lastRow="0" w:firstColumn="0" w:lastColumn="0" w:noHBand="0" w:noVBand="1"/>
    </w:tblPr>
    <w:tblGrid>
      <w:gridCol w:w="1787"/>
      <w:gridCol w:w="1559"/>
      <w:gridCol w:w="1701"/>
      <w:gridCol w:w="2961"/>
      <w:gridCol w:w="2123"/>
    </w:tblGrid>
    <w:tr w:rsidR="002022F1" w14:paraId="1D614324" w14:textId="77777777">
      <w:trPr>
        <w:trHeight w:val="20"/>
      </w:trPr>
      <w:tc>
        <w:tcPr>
          <w:tcW w:w="1787" w:type="dxa"/>
          <w:vMerge w:val="restart"/>
          <w:tcBorders>
            <w:top w:val="single" w:sz="8" w:space="0" w:color="5B9BD5"/>
            <w:left w:val="single" w:sz="8" w:space="0" w:color="5B9BD5"/>
            <w:right w:val="single" w:sz="8" w:space="0" w:color="5B9BD5"/>
          </w:tcBorders>
        </w:tcPr>
        <w:p w14:paraId="681B145A" w14:textId="77777777" w:rsidR="002022F1" w:rsidRDefault="002022F1">
          <w:pPr>
            <w:jc w:val="center"/>
            <w:rPr>
              <w:b/>
              <w:color w:val="000000"/>
            </w:rPr>
          </w:pPr>
          <w:r>
            <w:rPr>
              <w:noProof/>
            </w:rPr>
            <w:drawing>
              <wp:anchor distT="0" distB="0" distL="114300" distR="114300" simplePos="0" relativeHeight="251661312" behindDoc="0" locked="0" layoutInCell="1" hidden="0" allowOverlap="1" wp14:anchorId="545069F9" wp14:editId="2BFE69F9">
                <wp:simplePos x="0" y="0"/>
                <wp:positionH relativeFrom="column">
                  <wp:posOffset>-39368</wp:posOffset>
                </wp:positionH>
                <wp:positionV relativeFrom="paragraph">
                  <wp:posOffset>325755</wp:posOffset>
                </wp:positionV>
                <wp:extent cx="1076325" cy="835660"/>
                <wp:effectExtent l="0" t="0" r="0" b="0"/>
                <wp:wrapNone/>
                <wp:docPr id="578" name="image1.png" descr="Resultado de imagen para LOGO OFICIAL ALCALDIA MAYOR DE BOGOTA SECRETARIA DISTRITAL DE DESARROLLO ECONOMICO"/>
                <wp:cNvGraphicFramePr/>
                <a:graphic xmlns:a="http://schemas.openxmlformats.org/drawingml/2006/main">
                  <a:graphicData uri="http://schemas.openxmlformats.org/drawingml/2006/picture">
                    <pic:pic xmlns:pic="http://schemas.openxmlformats.org/drawingml/2006/picture">
                      <pic:nvPicPr>
                        <pic:cNvPr id="0" name="image1.png" descr="Resultado de imagen para LOGO OFICIAL ALCALDIA MAYOR DE BOGOTA SECRETARIA DISTRITAL DE DESARROLLO ECONOMICO"/>
                        <pic:cNvPicPr preferRelativeResize="0"/>
                      </pic:nvPicPr>
                      <pic:blipFill>
                        <a:blip r:embed="rId1"/>
                        <a:srcRect/>
                        <a:stretch>
                          <a:fillRect/>
                        </a:stretch>
                      </pic:blipFill>
                      <pic:spPr>
                        <a:xfrm>
                          <a:off x="0" y="0"/>
                          <a:ext cx="1076325" cy="835660"/>
                        </a:xfrm>
                        <a:prstGeom prst="rect">
                          <a:avLst/>
                        </a:prstGeom>
                        <a:ln/>
                      </pic:spPr>
                    </pic:pic>
                  </a:graphicData>
                </a:graphic>
              </wp:anchor>
            </w:drawing>
          </w:r>
        </w:p>
      </w:tc>
      <w:tc>
        <w:tcPr>
          <w:tcW w:w="1559" w:type="dxa"/>
          <w:vMerge w:val="restart"/>
          <w:tcBorders>
            <w:top w:val="single" w:sz="8" w:space="0" w:color="5B9BD5"/>
            <w:left w:val="single" w:sz="8" w:space="0" w:color="5B9BD5"/>
            <w:bottom w:val="single" w:sz="8" w:space="0" w:color="5B9BD5"/>
            <w:right w:val="single" w:sz="8" w:space="0" w:color="5B9BD5"/>
          </w:tcBorders>
          <w:shd w:val="clear" w:color="auto" w:fill="auto"/>
          <w:vAlign w:val="center"/>
        </w:tcPr>
        <w:p w14:paraId="71E8A4CC" w14:textId="77777777" w:rsidR="002022F1" w:rsidRDefault="002022F1">
          <w:pPr>
            <w:jc w:val="center"/>
            <w:rPr>
              <w:b/>
              <w:color w:val="000000"/>
              <w:sz w:val="20"/>
              <w:szCs w:val="20"/>
            </w:rPr>
          </w:pPr>
          <w:r>
            <w:rPr>
              <w:b/>
              <w:color w:val="000000"/>
              <w:sz w:val="20"/>
              <w:szCs w:val="20"/>
            </w:rPr>
            <w:t xml:space="preserve">Gestión Documental </w:t>
          </w:r>
        </w:p>
      </w:tc>
      <w:tc>
        <w:tcPr>
          <w:tcW w:w="1701" w:type="dxa"/>
          <w:tcBorders>
            <w:top w:val="single" w:sz="8" w:space="0" w:color="5B9BD5"/>
            <w:left w:val="nil"/>
            <w:bottom w:val="single" w:sz="8" w:space="0" w:color="5B9BD5"/>
            <w:right w:val="single" w:sz="8" w:space="0" w:color="5B9BD5"/>
          </w:tcBorders>
          <w:shd w:val="clear" w:color="auto" w:fill="auto"/>
          <w:vAlign w:val="center"/>
        </w:tcPr>
        <w:p w14:paraId="050719BA" w14:textId="77777777" w:rsidR="002022F1" w:rsidRDefault="002022F1">
          <w:pPr>
            <w:jc w:val="center"/>
            <w:rPr>
              <w:b/>
              <w:color w:val="000000"/>
              <w:sz w:val="18"/>
              <w:szCs w:val="18"/>
            </w:rPr>
          </w:pPr>
          <w:r>
            <w:rPr>
              <w:b/>
              <w:color w:val="000000"/>
              <w:sz w:val="18"/>
              <w:szCs w:val="18"/>
            </w:rPr>
            <w:t>Código:</w:t>
          </w:r>
        </w:p>
      </w:tc>
      <w:tc>
        <w:tcPr>
          <w:tcW w:w="2961" w:type="dxa"/>
          <w:tcBorders>
            <w:top w:val="single" w:sz="8" w:space="0" w:color="5B9BD5"/>
            <w:left w:val="nil"/>
            <w:bottom w:val="single" w:sz="8" w:space="0" w:color="5B9BD5"/>
            <w:right w:val="single" w:sz="8" w:space="0" w:color="5B9BD5"/>
          </w:tcBorders>
          <w:shd w:val="clear" w:color="auto" w:fill="auto"/>
          <w:vAlign w:val="center"/>
        </w:tcPr>
        <w:p w14:paraId="7C72B288" w14:textId="77777777" w:rsidR="002022F1" w:rsidRDefault="002022F1">
          <w:pPr>
            <w:jc w:val="center"/>
            <w:rPr>
              <w:b/>
              <w:color w:val="000000"/>
              <w:sz w:val="18"/>
              <w:szCs w:val="18"/>
            </w:rPr>
          </w:pPr>
          <w:r>
            <w:rPr>
              <w:b/>
              <w:color w:val="000000"/>
              <w:sz w:val="18"/>
              <w:szCs w:val="18"/>
            </w:rPr>
            <w:t>GD-P1-F24</w:t>
          </w:r>
        </w:p>
      </w:tc>
      <w:tc>
        <w:tcPr>
          <w:tcW w:w="2123" w:type="dxa"/>
          <w:vMerge w:val="restart"/>
          <w:tcBorders>
            <w:top w:val="single" w:sz="8" w:space="0" w:color="5B9BD5"/>
            <w:left w:val="nil"/>
            <w:right w:val="single" w:sz="8" w:space="0" w:color="5B9BD5"/>
          </w:tcBorders>
          <w:vAlign w:val="center"/>
        </w:tcPr>
        <w:p w14:paraId="573813ED" w14:textId="77777777" w:rsidR="002022F1" w:rsidRDefault="002022F1">
          <w:pPr>
            <w:jc w:val="center"/>
            <w:rPr>
              <w:b/>
              <w:color w:val="000000"/>
            </w:rPr>
          </w:pPr>
          <w:r>
            <w:rPr>
              <w:noProof/>
            </w:rPr>
            <w:drawing>
              <wp:inline distT="0" distB="0" distL="0" distR="0" wp14:anchorId="5A343A3D" wp14:editId="20AB2CA0">
                <wp:extent cx="1238250" cy="1276350"/>
                <wp:effectExtent l="0" t="0" r="0" b="0"/>
                <wp:docPr id="585" name="image6.png" descr="SIG.bmp"/>
                <wp:cNvGraphicFramePr/>
                <a:graphic xmlns:a="http://schemas.openxmlformats.org/drawingml/2006/main">
                  <a:graphicData uri="http://schemas.openxmlformats.org/drawingml/2006/picture">
                    <pic:pic xmlns:pic="http://schemas.openxmlformats.org/drawingml/2006/picture">
                      <pic:nvPicPr>
                        <pic:cNvPr id="0" name="image6.png" descr="SIG.bmp"/>
                        <pic:cNvPicPr preferRelativeResize="0"/>
                      </pic:nvPicPr>
                      <pic:blipFill>
                        <a:blip r:embed="rId2"/>
                        <a:srcRect/>
                        <a:stretch>
                          <a:fillRect/>
                        </a:stretch>
                      </pic:blipFill>
                      <pic:spPr>
                        <a:xfrm>
                          <a:off x="0" y="0"/>
                          <a:ext cx="1238250" cy="1276350"/>
                        </a:xfrm>
                        <a:prstGeom prst="rect">
                          <a:avLst/>
                        </a:prstGeom>
                        <a:ln/>
                      </pic:spPr>
                    </pic:pic>
                  </a:graphicData>
                </a:graphic>
              </wp:inline>
            </w:drawing>
          </w:r>
        </w:p>
      </w:tc>
    </w:tr>
    <w:tr w:rsidR="002022F1" w14:paraId="1913BFFB" w14:textId="77777777">
      <w:trPr>
        <w:trHeight w:val="20"/>
      </w:trPr>
      <w:tc>
        <w:tcPr>
          <w:tcW w:w="1787" w:type="dxa"/>
          <w:vMerge/>
          <w:tcBorders>
            <w:top w:val="single" w:sz="8" w:space="0" w:color="5B9BD5"/>
            <w:left w:val="single" w:sz="8" w:space="0" w:color="5B9BD5"/>
            <w:right w:val="single" w:sz="8" w:space="0" w:color="5B9BD5"/>
          </w:tcBorders>
        </w:tcPr>
        <w:p w14:paraId="37597FF7" w14:textId="77777777" w:rsidR="002022F1" w:rsidRDefault="002022F1">
          <w:pPr>
            <w:widowControl w:val="0"/>
            <w:pBdr>
              <w:top w:val="nil"/>
              <w:left w:val="nil"/>
              <w:bottom w:val="nil"/>
              <w:right w:val="nil"/>
              <w:between w:val="nil"/>
            </w:pBdr>
            <w:spacing w:line="276" w:lineRule="auto"/>
            <w:rPr>
              <w:b/>
              <w:color w:val="000000"/>
            </w:rPr>
          </w:pPr>
        </w:p>
      </w:tc>
      <w:tc>
        <w:tcPr>
          <w:tcW w:w="1559" w:type="dxa"/>
          <w:vMerge/>
          <w:tcBorders>
            <w:top w:val="single" w:sz="8" w:space="0" w:color="5B9BD5"/>
            <w:left w:val="single" w:sz="8" w:space="0" w:color="5B9BD5"/>
            <w:bottom w:val="single" w:sz="8" w:space="0" w:color="5B9BD5"/>
            <w:right w:val="single" w:sz="8" w:space="0" w:color="5B9BD5"/>
          </w:tcBorders>
          <w:shd w:val="clear" w:color="auto" w:fill="auto"/>
          <w:vAlign w:val="center"/>
        </w:tcPr>
        <w:p w14:paraId="7F8EEFEF" w14:textId="77777777" w:rsidR="002022F1" w:rsidRDefault="002022F1">
          <w:pPr>
            <w:widowControl w:val="0"/>
            <w:pBdr>
              <w:top w:val="nil"/>
              <w:left w:val="nil"/>
              <w:bottom w:val="nil"/>
              <w:right w:val="nil"/>
              <w:between w:val="nil"/>
            </w:pBdr>
            <w:spacing w:line="276" w:lineRule="auto"/>
            <w:rPr>
              <w:b/>
              <w:color w:val="000000"/>
            </w:rPr>
          </w:pPr>
        </w:p>
      </w:tc>
      <w:tc>
        <w:tcPr>
          <w:tcW w:w="1701" w:type="dxa"/>
          <w:tcBorders>
            <w:top w:val="nil"/>
            <w:left w:val="nil"/>
            <w:bottom w:val="single" w:sz="8" w:space="0" w:color="5B9BD5"/>
            <w:right w:val="single" w:sz="8" w:space="0" w:color="5B9BD5"/>
          </w:tcBorders>
          <w:shd w:val="clear" w:color="auto" w:fill="B4C6E7"/>
          <w:vAlign w:val="center"/>
        </w:tcPr>
        <w:p w14:paraId="29978F6C" w14:textId="77777777" w:rsidR="002022F1" w:rsidRDefault="002022F1">
          <w:pPr>
            <w:jc w:val="center"/>
            <w:rPr>
              <w:b/>
              <w:color w:val="000000"/>
              <w:sz w:val="18"/>
              <w:szCs w:val="18"/>
            </w:rPr>
          </w:pPr>
          <w:r>
            <w:rPr>
              <w:b/>
              <w:color w:val="000000"/>
              <w:sz w:val="18"/>
              <w:szCs w:val="18"/>
            </w:rPr>
            <w:t>Versión:</w:t>
          </w:r>
        </w:p>
      </w:tc>
      <w:tc>
        <w:tcPr>
          <w:tcW w:w="2961" w:type="dxa"/>
          <w:tcBorders>
            <w:top w:val="nil"/>
            <w:left w:val="nil"/>
            <w:bottom w:val="single" w:sz="8" w:space="0" w:color="5B9BD5"/>
            <w:right w:val="single" w:sz="8" w:space="0" w:color="5B9BD5"/>
          </w:tcBorders>
          <w:shd w:val="clear" w:color="auto" w:fill="B4C6E7"/>
          <w:vAlign w:val="center"/>
        </w:tcPr>
        <w:p w14:paraId="3665F5C8" w14:textId="77777777" w:rsidR="002022F1" w:rsidRDefault="002022F1">
          <w:pPr>
            <w:jc w:val="center"/>
            <w:rPr>
              <w:b/>
              <w:color w:val="000000"/>
              <w:sz w:val="18"/>
              <w:szCs w:val="18"/>
            </w:rPr>
          </w:pPr>
          <w:r>
            <w:rPr>
              <w:b/>
              <w:color w:val="000000"/>
              <w:sz w:val="18"/>
              <w:szCs w:val="18"/>
            </w:rPr>
            <w:t>1</w:t>
          </w:r>
        </w:p>
      </w:tc>
      <w:tc>
        <w:tcPr>
          <w:tcW w:w="2123" w:type="dxa"/>
          <w:vMerge/>
          <w:tcBorders>
            <w:top w:val="single" w:sz="8" w:space="0" w:color="5B9BD5"/>
            <w:left w:val="nil"/>
            <w:right w:val="single" w:sz="8" w:space="0" w:color="5B9BD5"/>
          </w:tcBorders>
          <w:vAlign w:val="center"/>
        </w:tcPr>
        <w:p w14:paraId="0092C171" w14:textId="77777777" w:rsidR="002022F1" w:rsidRDefault="002022F1">
          <w:pPr>
            <w:widowControl w:val="0"/>
            <w:pBdr>
              <w:top w:val="nil"/>
              <w:left w:val="nil"/>
              <w:bottom w:val="nil"/>
              <w:right w:val="nil"/>
              <w:between w:val="nil"/>
            </w:pBdr>
            <w:spacing w:line="276" w:lineRule="auto"/>
            <w:rPr>
              <w:b/>
              <w:color w:val="000000"/>
              <w:sz w:val="18"/>
              <w:szCs w:val="18"/>
            </w:rPr>
          </w:pPr>
        </w:p>
      </w:tc>
    </w:tr>
    <w:tr w:rsidR="002022F1" w14:paraId="644BDB8D" w14:textId="77777777">
      <w:trPr>
        <w:trHeight w:val="20"/>
      </w:trPr>
      <w:tc>
        <w:tcPr>
          <w:tcW w:w="1787" w:type="dxa"/>
          <w:vMerge/>
          <w:tcBorders>
            <w:top w:val="single" w:sz="8" w:space="0" w:color="5B9BD5"/>
            <w:left w:val="single" w:sz="8" w:space="0" w:color="5B9BD5"/>
            <w:right w:val="single" w:sz="8" w:space="0" w:color="5B9BD5"/>
          </w:tcBorders>
        </w:tcPr>
        <w:p w14:paraId="25B8AEF1"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559" w:type="dxa"/>
          <w:vMerge/>
          <w:tcBorders>
            <w:top w:val="single" w:sz="8" w:space="0" w:color="5B9BD5"/>
            <w:left w:val="single" w:sz="8" w:space="0" w:color="5B9BD5"/>
            <w:bottom w:val="single" w:sz="8" w:space="0" w:color="5B9BD5"/>
            <w:right w:val="single" w:sz="8" w:space="0" w:color="5B9BD5"/>
          </w:tcBorders>
          <w:shd w:val="clear" w:color="auto" w:fill="auto"/>
          <w:vAlign w:val="center"/>
        </w:tcPr>
        <w:p w14:paraId="391C1FB7"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701" w:type="dxa"/>
          <w:tcBorders>
            <w:top w:val="nil"/>
            <w:left w:val="nil"/>
            <w:bottom w:val="single" w:sz="8" w:space="0" w:color="5B9BD5"/>
            <w:right w:val="single" w:sz="8" w:space="0" w:color="5B9BD5"/>
          </w:tcBorders>
          <w:shd w:val="clear" w:color="auto" w:fill="auto"/>
          <w:vAlign w:val="center"/>
        </w:tcPr>
        <w:p w14:paraId="06F98E9B" w14:textId="77777777" w:rsidR="002022F1" w:rsidRDefault="002022F1">
          <w:pPr>
            <w:jc w:val="center"/>
            <w:rPr>
              <w:b/>
              <w:color w:val="000000"/>
              <w:sz w:val="18"/>
              <w:szCs w:val="18"/>
            </w:rPr>
          </w:pPr>
          <w:r>
            <w:rPr>
              <w:b/>
              <w:color w:val="000000"/>
              <w:sz w:val="18"/>
              <w:szCs w:val="18"/>
            </w:rPr>
            <w:t>Fecha:</w:t>
          </w:r>
        </w:p>
      </w:tc>
      <w:tc>
        <w:tcPr>
          <w:tcW w:w="2961" w:type="dxa"/>
          <w:tcBorders>
            <w:top w:val="nil"/>
            <w:left w:val="nil"/>
            <w:bottom w:val="single" w:sz="8" w:space="0" w:color="5B9BD5"/>
            <w:right w:val="single" w:sz="8" w:space="0" w:color="5B9BD5"/>
          </w:tcBorders>
          <w:shd w:val="clear" w:color="auto" w:fill="auto"/>
          <w:vAlign w:val="center"/>
        </w:tcPr>
        <w:p w14:paraId="2EE0874F" w14:textId="77777777" w:rsidR="002022F1" w:rsidRDefault="002022F1">
          <w:pPr>
            <w:jc w:val="center"/>
            <w:rPr>
              <w:b/>
              <w:color w:val="000000"/>
              <w:sz w:val="18"/>
              <w:szCs w:val="18"/>
            </w:rPr>
          </w:pPr>
          <w:r>
            <w:rPr>
              <w:b/>
              <w:color w:val="000000"/>
              <w:sz w:val="18"/>
              <w:szCs w:val="18"/>
            </w:rPr>
            <w:t>Marzo 2019</w:t>
          </w:r>
        </w:p>
      </w:tc>
      <w:tc>
        <w:tcPr>
          <w:tcW w:w="2123" w:type="dxa"/>
          <w:vMerge/>
          <w:tcBorders>
            <w:top w:val="single" w:sz="8" w:space="0" w:color="5B9BD5"/>
            <w:left w:val="nil"/>
            <w:right w:val="single" w:sz="8" w:space="0" w:color="5B9BD5"/>
          </w:tcBorders>
          <w:vAlign w:val="center"/>
        </w:tcPr>
        <w:p w14:paraId="76B3A19C" w14:textId="77777777" w:rsidR="002022F1" w:rsidRDefault="002022F1">
          <w:pPr>
            <w:widowControl w:val="0"/>
            <w:pBdr>
              <w:top w:val="nil"/>
              <w:left w:val="nil"/>
              <w:bottom w:val="nil"/>
              <w:right w:val="nil"/>
              <w:between w:val="nil"/>
            </w:pBdr>
            <w:spacing w:line="276" w:lineRule="auto"/>
            <w:rPr>
              <w:b/>
              <w:color w:val="000000"/>
              <w:sz w:val="18"/>
              <w:szCs w:val="18"/>
            </w:rPr>
          </w:pPr>
        </w:p>
      </w:tc>
    </w:tr>
    <w:tr w:rsidR="002022F1" w14:paraId="795E6E54" w14:textId="77777777">
      <w:trPr>
        <w:trHeight w:val="20"/>
      </w:trPr>
      <w:tc>
        <w:tcPr>
          <w:tcW w:w="1787" w:type="dxa"/>
          <w:vMerge/>
          <w:tcBorders>
            <w:top w:val="single" w:sz="8" w:space="0" w:color="5B9BD5"/>
            <w:left w:val="single" w:sz="8" w:space="0" w:color="5B9BD5"/>
            <w:right w:val="single" w:sz="8" w:space="0" w:color="5B9BD5"/>
          </w:tcBorders>
        </w:tcPr>
        <w:p w14:paraId="4D32900E"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559" w:type="dxa"/>
          <w:vMerge w:val="restart"/>
          <w:tcBorders>
            <w:top w:val="nil"/>
            <w:left w:val="single" w:sz="8" w:space="0" w:color="5B9BD5"/>
            <w:bottom w:val="single" w:sz="8" w:space="0" w:color="5B9BD5"/>
            <w:right w:val="single" w:sz="8" w:space="0" w:color="5B9BD5"/>
          </w:tcBorders>
          <w:shd w:val="clear" w:color="auto" w:fill="B4C6E7"/>
          <w:vAlign w:val="center"/>
        </w:tcPr>
        <w:p w14:paraId="27CD4F24" w14:textId="77777777" w:rsidR="002022F1" w:rsidRDefault="002022F1">
          <w:pPr>
            <w:jc w:val="center"/>
            <w:rPr>
              <w:b/>
              <w:color w:val="000000"/>
              <w:sz w:val="20"/>
              <w:szCs w:val="20"/>
            </w:rPr>
          </w:pPr>
          <w:r>
            <w:rPr>
              <w:b/>
              <w:color w:val="000000"/>
              <w:sz w:val="20"/>
              <w:szCs w:val="20"/>
            </w:rPr>
            <w:t>Informe</w:t>
          </w:r>
        </w:p>
      </w:tc>
      <w:tc>
        <w:tcPr>
          <w:tcW w:w="1701" w:type="dxa"/>
          <w:tcBorders>
            <w:top w:val="nil"/>
            <w:left w:val="nil"/>
            <w:bottom w:val="single" w:sz="8" w:space="0" w:color="5B9BD5"/>
            <w:right w:val="single" w:sz="8" w:space="0" w:color="5B9BD5"/>
          </w:tcBorders>
          <w:shd w:val="clear" w:color="auto" w:fill="B4C6E7"/>
          <w:vAlign w:val="center"/>
        </w:tcPr>
        <w:p w14:paraId="0A61DAB1" w14:textId="77777777" w:rsidR="002022F1" w:rsidRDefault="002022F1">
          <w:pPr>
            <w:jc w:val="center"/>
            <w:rPr>
              <w:b/>
              <w:color w:val="000000"/>
              <w:sz w:val="18"/>
              <w:szCs w:val="18"/>
            </w:rPr>
          </w:pPr>
          <w:r>
            <w:rPr>
              <w:b/>
              <w:color w:val="000000"/>
              <w:sz w:val="18"/>
              <w:szCs w:val="18"/>
            </w:rPr>
            <w:t>Página:</w:t>
          </w:r>
        </w:p>
      </w:tc>
      <w:tc>
        <w:tcPr>
          <w:tcW w:w="2961" w:type="dxa"/>
          <w:tcBorders>
            <w:top w:val="nil"/>
            <w:left w:val="nil"/>
            <w:bottom w:val="single" w:sz="8" w:space="0" w:color="5B9BD5"/>
            <w:right w:val="single" w:sz="8" w:space="0" w:color="5B9BD5"/>
          </w:tcBorders>
          <w:shd w:val="clear" w:color="auto" w:fill="B4C6E7"/>
          <w:vAlign w:val="center"/>
        </w:tcPr>
        <w:p w14:paraId="670F7E22" w14:textId="5A9695B7" w:rsidR="002022F1" w:rsidRDefault="002022F1">
          <w:pPr>
            <w:jc w:val="center"/>
            <w:rPr>
              <w:b/>
              <w:color w:val="000000"/>
              <w:sz w:val="18"/>
              <w:szCs w:val="18"/>
            </w:rPr>
          </w:pPr>
          <w:r>
            <w:rPr>
              <w:b/>
              <w:color w:val="000000"/>
              <w:sz w:val="18"/>
              <w:szCs w:val="18"/>
            </w:rPr>
            <w:t xml:space="preserve">Página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5031F7">
            <w:rPr>
              <w:b/>
              <w:noProof/>
              <w:color w:val="000000"/>
              <w:sz w:val="18"/>
              <w:szCs w:val="18"/>
            </w:rPr>
            <w:t>2</w:t>
          </w:r>
          <w:r>
            <w:rPr>
              <w:b/>
              <w:color w:val="000000"/>
              <w:sz w:val="18"/>
              <w:szCs w:val="18"/>
            </w:rPr>
            <w:fldChar w:fldCharType="end"/>
          </w:r>
          <w:r>
            <w:rPr>
              <w:b/>
              <w:color w:val="000000"/>
              <w:sz w:val="18"/>
              <w:szCs w:val="18"/>
            </w:rPr>
            <w:t xml:space="preserve"> de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5031F7">
            <w:rPr>
              <w:b/>
              <w:noProof/>
              <w:color w:val="000000"/>
              <w:sz w:val="18"/>
              <w:szCs w:val="18"/>
            </w:rPr>
            <w:t>28</w:t>
          </w:r>
          <w:r>
            <w:rPr>
              <w:b/>
              <w:color w:val="000000"/>
              <w:sz w:val="18"/>
              <w:szCs w:val="18"/>
            </w:rPr>
            <w:fldChar w:fldCharType="end"/>
          </w:r>
        </w:p>
      </w:tc>
      <w:tc>
        <w:tcPr>
          <w:tcW w:w="2123" w:type="dxa"/>
          <w:vMerge/>
          <w:tcBorders>
            <w:top w:val="single" w:sz="8" w:space="0" w:color="5B9BD5"/>
            <w:left w:val="nil"/>
            <w:right w:val="single" w:sz="8" w:space="0" w:color="5B9BD5"/>
          </w:tcBorders>
          <w:vAlign w:val="center"/>
        </w:tcPr>
        <w:p w14:paraId="5866C347" w14:textId="77777777" w:rsidR="002022F1" w:rsidRDefault="002022F1">
          <w:pPr>
            <w:widowControl w:val="0"/>
            <w:pBdr>
              <w:top w:val="nil"/>
              <w:left w:val="nil"/>
              <w:bottom w:val="nil"/>
              <w:right w:val="nil"/>
              <w:between w:val="nil"/>
            </w:pBdr>
            <w:spacing w:line="276" w:lineRule="auto"/>
            <w:rPr>
              <w:b/>
              <w:color w:val="000000"/>
              <w:sz w:val="18"/>
              <w:szCs w:val="18"/>
            </w:rPr>
          </w:pPr>
        </w:p>
      </w:tc>
    </w:tr>
    <w:tr w:rsidR="002022F1" w14:paraId="0832103B" w14:textId="77777777">
      <w:trPr>
        <w:trHeight w:val="20"/>
      </w:trPr>
      <w:tc>
        <w:tcPr>
          <w:tcW w:w="1787" w:type="dxa"/>
          <w:vMerge/>
          <w:tcBorders>
            <w:top w:val="single" w:sz="8" w:space="0" w:color="5B9BD5"/>
            <w:left w:val="single" w:sz="8" w:space="0" w:color="5B9BD5"/>
            <w:right w:val="single" w:sz="8" w:space="0" w:color="5B9BD5"/>
          </w:tcBorders>
        </w:tcPr>
        <w:p w14:paraId="36BB902A"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559" w:type="dxa"/>
          <w:vMerge/>
          <w:tcBorders>
            <w:top w:val="nil"/>
            <w:left w:val="single" w:sz="8" w:space="0" w:color="5B9BD5"/>
            <w:bottom w:val="single" w:sz="8" w:space="0" w:color="5B9BD5"/>
            <w:right w:val="single" w:sz="8" w:space="0" w:color="5B9BD5"/>
          </w:tcBorders>
          <w:shd w:val="clear" w:color="auto" w:fill="B4C6E7"/>
          <w:vAlign w:val="center"/>
        </w:tcPr>
        <w:p w14:paraId="54967AA4"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701" w:type="dxa"/>
          <w:tcBorders>
            <w:top w:val="nil"/>
            <w:left w:val="nil"/>
            <w:bottom w:val="single" w:sz="8" w:space="0" w:color="5B9BD5"/>
            <w:right w:val="single" w:sz="8" w:space="0" w:color="5B9BD5"/>
          </w:tcBorders>
          <w:shd w:val="clear" w:color="auto" w:fill="auto"/>
          <w:vAlign w:val="center"/>
        </w:tcPr>
        <w:p w14:paraId="2BEBC82F" w14:textId="77777777" w:rsidR="002022F1" w:rsidRDefault="002022F1">
          <w:pPr>
            <w:jc w:val="center"/>
            <w:rPr>
              <w:b/>
              <w:color w:val="000000"/>
              <w:sz w:val="18"/>
              <w:szCs w:val="18"/>
            </w:rPr>
          </w:pPr>
          <w:r>
            <w:rPr>
              <w:b/>
              <w:color w:val="000000"/>
              <w:sz w:val="18"/>
              <w:szCs w:val="18"/>
            </w:rPr>
            <w:t>Elaborado por:</w:t>
          </w:r>
        </w:p>
      </w:tc>
      <w:tc>
        <w:tcPr>
          <w:tcW w:w="2961" w:type="dxa"/>
          <w:tcBorders>
            <w:top w:val="nil"/>
            <w:left w:val="nil"/>
            <w:bottom w:val="single" w:sz="8" w:space="0" w:color="5B9BD5"/>
            <w:right w:val="single" w:sz="8" w:space="0" w:color="5B9BD5"/>
          </w:tcBorders>
          <w:shd w:val="clear" w:color="auto" w:fill="auto"/>
          <w:vAlign w:val="center"/>
        </w:tcPr>
        <w:p w14:paraId="0F6B8E6A" w14:textId="77777777" w:rsidR="002022F1" w:rsidRDefault="002022F1">
          <w:pPr>
            <w:jc w:val="center"/>
            <w:rPr>
              <w:b/>
              <w:color w:val="000000"/>
              <w:sz w:val="18"/>
              <w:szCs w:val="18"/>
            </w:rPr>
          </w:pPr>
          <w:r>
            <w:rPr>
              <w:b/>
              <w:color w:val="000000"/>
              <w:sz w:val="18"/>
              <w:szCs w:val="18"/>
            </w:rPr>
            <w:t>Liliana Nieto D.</w:t>
          </w:r>
        </w:p>
        <w:p w14:paraId="2C433C18" w14:textId="77777777" w:rsidR="002022F1" w:rsidRDefault="002022F1">
          <w:pPr>
            <w:jc w:val="center"/>
            <w:rPr>
              <w:b/>
              <w:color w:val="000000"/>
              <w:sz w:val="18"/>
              <w:szCs w:val="18"/>
            </w:rPr>
          </w:pPr>
          <w:r>
            <w:rPr>
              <w:b/>
              <w:color w:val="000000"/>
              <w:sz w:val="18"/>
              <w:szCs w:val="18"/>
            </w:rPr>
            <w:t>Profesional Especializado OAP</w:t>
          </w:r>
        </w:p>
      </w:tc>
      <w:tc>
        <w:tcPr>
          <w:tcW w:w="2123" w:type="dxa"/>
          <w:vMerge/>
          <w:tcBorders>
            <w:top w:val="single" w:sz="8" w:space="0" w:color="5B9BD5"/>
            <w:left w:val="nil"/>
            <w:right w:val="single" w:sz="8" w:space="0" w:color="5B9BD5"/>
          </w:tcBorders>
          <w:vAlign w:val="center"/>
        </w:tcPr>
        <w:p w14:paraId="2A65386A" w14:textId="77777777" w:rsidR="002022F1" w:rsidRDefault="002022F1">
          <w:pPr>
            <w:widowControl w:val="0"/>
            <w:pBdr>
              <w:top w:val="nil"/>
              <w:left w:val="nil"/>
              <w:bottom w:val="nil"/>
              <w:right w:val="nil"/>
              <w:between w:val="nil"/>
            </w:pBdr>
            <w:spacing w:line="276" w:lineRule="auto"/>
            <w:rPr>
              <w:b/>
              <w:color w:val="000000"/>
              <w:sz w:val="18"/>
              <w:szCs w:val="18"/>
            </w:rPr>
          </w:pPr>
        </w:p>
      </w:tc>
    </w:tr>
    <w:tr w:rsidR="002022F1" w14:paraId="4AC17923" w14:textId="77777777">
      <w:trPr>
        <w:trHeight w:val="20"/>
      </w:trPr>
      <w:tc>
        <w:tcPr>
          <w:tcW w:w="1787" w:type="dxa"/>
          <w:vMerge/>
          <w:tcBorders>
            <w:top w:val="single" w:sz="8" w:space="0" w:color="5B9BD5"/>
            <w:left w:val="single" w:sz="8" w:space="0" w:color="5B9BD5"/>
            <w:right w:val="single" w:sz="8" w:space="0" w:color="5B9BD5"/>
          </w:tcBorders>
        </w:tcPr>
        <w:p w14:paraId="03A5531F"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559" w:type="dxa"/>
          <w:vMerge/>
          <w:tcBorders>
            <w:top w:val="nil"/>
            <w:left w:val="single" w:sz="8" w:space="0" w:color="5B9BD5"/>
            <w:bottom w:val="single" w:sz="8" w:space="0" w:color="5B9BD5"/>
            <w:right w:val="single" w:sz="8" w:space="0" w:color="5B9BD5"/>
          </w:tcBorders>
          <w:shd w:val="clear" w:color="auto" w:fill="B4C6E7"/>
          <w:vAlign w:val="center"/>
        </w:tcPr>
        <w:p w14:paraId="78727BC3"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701" w:type="dxa"/>
          <w:tcBorders>
            <w:top w:val="nil"/>
            <w:left w:val="nil"/>
            <w:bottom w:val="single" w:sz="8" w:space="0" w:color="5B9BD5"/>
            <w:right w:val="single" w:sz="8" w:space="0" w:color="5B9BD5"/>
          </w:tcBorders>
          <w:shd w:val="clear" w:color="auto" w:fill="B4C6E7"/>
          <w:vAlign w:val="center"/>
        </w:tcPr>
        <w:p w14:paraId="5B02EE2F" w14:textId="77777777" w:rsidR="002022F1" w:rsidRDefault="002022F1">
          <w:pPr>
            <w:jc w:val="center"/>
            <w:rPr>
              <w:b/>
              <w:color w:val="000000"/>
              <w:sz w:val="18"/>
              <w:szCs w:val="18"/>
            </w:rPr>
          </w:pPr>
          <w:r>
            <w:rPr>
              <w:b/>
              <w:color w:val="000000"/>
              <w:sz w:val="18"/>
              <w:szCs w:val="18"/>
            </w:rPr>
            <w:t>Revisado por:</w:t>
          </w:r>
        </w:p>
      </w:tc>
      <w:tc>
        <w:tcPr>
          <w:tcW w:w="2961" w:type="dxa"/>
          <w:tcBorders>
            <w:top w:val="nil"/>
            <w:left w:val="nil"/>
            <w:bottom w:val="single" w:sz="8" w:space="0" w:color="5B9BD5"/>
            <w:right w:val="single" w:sz="8" w:space="0" w:color="5B9BD5"/>
          </w:tcBorders>
          <w:shd w:val="clear" w:color="auto" w:fill="B4C6E7"/>
          <w:vAlign w:val="center"/>
        </w:tcPr>
        <w:p w14:paraId="1A787524" w14:textId="77777777" w:rsidR="002022F1" w:rsidRDefault="002022F1">
          <w:pPr>
            <w:jc w:val="center"/>
            <w:rPr>
              <w:b/>
              <w:color w:val="000000"/>
              <w:sz w:val="18"/>
              <w:szCs w:val="18"/>
            </w:rPr>
          </w:pPr>
          <w:r>
            <w:rPr>
              <w:b/>
              <w:color w:val="000000"/>
              <w:sz w:val="18"/>
              <w:szCs w:val="18"/>
            </w:rPr>
            <w:t>Javier Suárez</w:t>
          </w:r>
        </w:p>
        <w:p w14:paraId="1A32A76B" w14:textId="77777777" w:rsidR="002022F1" w:rsidRDefault="002022F1">
          <w:pPr>
            <w:jc w:val="center"/>
            <w:rPr>
              <w:b/>
              <w:color w:val="000000"/>
              <w:sz w:val="18"/>
              <w:szCs w:val="18"/>
            </w:rPr>
          </w:pPr>
          <w:r>
            <w:rPr>
              <w:b/>
              <w:color w:val="000000"/>
              <w:sz w:val="18"/>
              <w:szCs w:val="18"/>
            </w:rPr>
            <w:t>Profesional SAF</w:t>
          </w:r>
        </w:p>
      </w:tc>
      <w:tc>
        <w:tcPr>
          <w:tcW w:w="2123" w:type="dxa"/>
          <w:vMerge/>
          <w:tcBorders>
            <w:top w:val="single" w:sz="8" w:space="0" w:color="5B9BD5"/>
            <w:left w:val="nil"/>
            <w:right w:val="single" w:sz="8" w:space="0" w:color="5B9BD5"/>
          </w:tcBorders>
          <w:vAlign w:val="center"/>
        </w:tcPr>
        <w:p w14:paraId="244D7656" w14:textId="77777777" w:rsidR="002022F1" w:rsidRDefault="002022F1">
          <w:pPr>
            <w:widowControl w:val="0"/>
            <w:pBdr>
              <w:top w:val="nil"/>
              <w:left w:val="nil"/>
              <w:bottom w:val="nil"/>
              <w:right w:val="nil"/>
              <w:between w:val="nil"/>
            </w:pBdr>
            <w:spacing w:line="276" w:lineRule="auto"/>
            <w:rPr>
              <w:b/>
              <w:color w:val="000000"/>
              <w:sz w:val="18"/>
              <w:szCs w:val="18"/>
            </w:rPr>
          </w:pPr>
        </w:p>
      </w:tc>
    </w:tr>
    <w:tr w:rsidR="002022F1" w14:paraId="52BCB32A" w14:textId="77777777">
      <w:trPr>
        <w:trHeight w:val="20"/>
      </w:trPr>
      <w:tc>
        <w:tcPr>
          <w:tcW w:w="1787" w:type="dxa"/>
          <w:vMerge/>
          <w:tcBorders>
            <w:top w:val="single" w:sz="8" w:space="0" w:color="5B9BD5"/>
            <w:left w:val="single" w:sz="8" w:space="0" w:color="5B9BD5"/>
            <w:right w:val="single" w:sz="8" w:space="0" w:color="5B9BD5"/>
          </w:tcBorders>
        </w:tcPr>
        <w:p w14:paraId="7B5120E2"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559" w:type="dxa"/>
          <w:vMerge/>
          <w:tcBorders>
            <w:top w:val="nil"/>
            <w:left w:val="single" w:sz="8" w:space="0" w:color="5B9BD5"/>
            <w:bottom w:val="single" w:sz="8" w:space="0" w:color="5B9BD5"/>
            <w:right w:val="single" w:sz="8" w:space="0" w:color="5B9BD5"/>
          </w:tcBorders>
          <w:shd w:val="clear" w:color="auto" w:fill="B4C6E7"/>
          <w:vAlign w:val="center"/>
        </w:tcPr>
        <w:p w14:paraId="726770E4" w14:textId="77777777" w:rsidR="002022F1" w:rsidRDefault="002022F1">
          <w:pPr>
            <w:widowControl w:val="0"/>
            <w:pBdr>
              <w:top w:val="nil"/>
              <w:left w:val="nil"/>
              <w:bottom w:val="nil"/>
              <w:right w:val="nil"/>
              <w:between w:val="nil"/>
            </w:pBdr>
            <w:spacing w:line="276" w:lineRule="auto"/>
            <w:rPr>
              <w:b/>
              <w:color w:val="000000"/>
              <w:sz w:val="18"/>
              <w:szCs w:val="18"/>
            </w:rPr>
          </w:pPr>
        </w:p>
      </w:tc>
      <w:tc>
        <w:tcPr>
          <w:tcW w:w="1701" w:type="dxa"/>
          <w:tcBorders>
            <w:top w:val="nil"/>
            <w:left w:val="nil"/>
            <w:bottom w:val="single" w:sz="8" w:space="0" w:color="5B9BD5"/>
            <w:right w:val="single" w:sz="8" w:space="0" w:color="5B9BD5"/>
          </w:tcBorders>
          <w:shd w:val="clear" w:color="auto" w:fill="auto"/>
          <w:vAlign w:val="center"/>
        </w:tcPr>
        <w:p w14:paraId="0562BF29" w14:textId="77777777" w:rsidR="002022F1" w:rsidRDefault="002022F1">
          <w:pPr>
            <w:jc w:val="center"/>
            <w:rPr>
              <w:b/>
              <w:color w:val="000000"/>
              <w:sz w:val="18"/>
              <w:szCs w:val="18"/>
            </w:rPr>
          </w:pPr>
          <w:r>
            <w:rPr>
              <w:b/>
              <w:color w:val="000000"/>
              <w:sz w:val="18"/>
              <w:szCs w:val="18"/>
            </w:rPr>
            <w:t>Aprobado por:</w:t>
          </w:r>
        </w:p>
      </w:tc>
      <w:tc>
        <w:tcPr>
          <w:tcW w:w="2961" w:type="dxa"/>
          <w:tcBorders>
            <w:top w:val="nil"/>
            <w:left w:val="nil"/>
            <w:bottom w:val="single" w:sz="8" w:space="0" w:color="5B9BD5"/>
            <w:right w:val="single" w:sz="8" w:space="0" w:color="5B9BD5"/>
          </w:tcBorders>
          <w:shd w:val="clear" w:color="auto" w:fill="auto"/>
          <w:vAlign w:val="center"/>
        </w:tcPr>
        <w:p w14:paraId="384C43C3" w14:textId="77777777" w:rsidR="002022F1" w:rsidRDefault="002022F1">
          <w:pPr>
            <w:jc w:val="center"/>
            <w:rPr>
              <w:b/>
              <w:color w:val="000000"/>
              <w:sz w:val="18"/>
              <w:szCs w:val="18"/>
            </w:rPr>
          </w:pPr>
          <w:r>
            <w:rPr>
              <w:b/>
              <w:color w:val="000000"/>
              <w:sz w:val="18"/>
              <w:szCs w:val="18"/>
            </w:rPr>
            <w:t xml:space="preserve">Juan Armando Miranda </w:t>
          </w:r>
        </w:p>
        <w:p w14:paraId="60D06EB3" w14:textId="77777777" w:rsidR="002022F1" w:rsidRDefault="002022F1">
          <w:pPr>
            <w:jc w:val="center"/>
            <w:rPr>
              <w:b/>
              <w:color w:val="000000"/>
              <w:sz w:val="18"/>
              <w:szCs w:val="18"/>
            </w:rPr>
          </w:pPr>
          <w:r>
            <w:rPr>
              <w:b/>
              <w:color w:val="000000"/>
              <w:sz w:val="18"/>
              <w:szCs w:val="18"/>
            </w:rPr>
            <w:t>Subdirector Administrativo y Financiero</w:t>
          </w:r>
        </w:p>
      </w:tc>
      <w:tc>
        <w:tcPr>
          <w:tcW w:w="2123" w:type="dxa"/>
          <w:vMerge/>
          <w:tcBorders>
            <w:top w:val="single" w:sz="8" w:space="0" w:color="5B9BD5"/>
            <w:left w:val="nil"/>
            <w:right w:val="single" w:sz="8" w:space="0" w:color="5B9BD5"/>
          </w:tcBorders>
          <w:vAlign w:val="center"/>
        </w:tcPr>
        <w:p w14:paraId="3733A138" w14:textId="77777777" w:rsidR="002022F1" w:rsidRDefault="002022F1">
          <w:pPr>
            <w:widowControl w:val="0"/>
            <w:pBdr>
              <w:top w:val="nil"/>
              <w:left w:val="nil"/>
              <w:bottom w:val="nil"/>
              <w:right w:val="nil"/>
              <w:between w:val="nil"/>
            </w:pBdr>
            <w:spacing w:line="276" w:lineRule="auto"/>
            <w:rPr>
              <w:b/>
              <w:color w:val="000000"/>
              <w:sz w:val="18"/>
              <w:szCs w:val="18"/>
            </w:rPr>
          </w:pPr>
        </w:p>
      </w:tc>
    </w:tr>
  </w:tbl>
  <w:p w14:paraId="2C323996" w14:textId="77777777" w:rsidR="002022F1" w:rsidRDefault="002022F1">
    <w:pPr>
      <w:pBdr>
        <w:top w:val="nil"/>
        <w:left w:val="nil"/>
        <w:bottom w:val="nil"/>
        <w:right w:val="nil"/>
        <w:between w:val="nil"/>
      </w:pBdr>
      <w:tabs>
        <w:tab w:val="center" w:pos="4419"/>
        <w:tab w:val="right" w:pos="8838"/>
      </w:tabs>
      <w:spacing w:after="0" w:line="240" w:lineRule="auto"/>
    </w:pPr>
  </w:p>
  <w:p w14:paraId="1DD7F57A" w14:textId="77777777" w:rsidR="002022F1" w:rsidRDefault="002022F1">
    <w:pPr>
      <w:pBdr>
        <w:top w:val="nil"/>
        <w:left w:val="nil"/>
        <w:bottom w:val="nil"/>
        <w:right w:val="nil"/>
        <w:between w:val="nil"/>
      </w:pBdr>
      <w:tabs>
        <w:tab w:val="center" w:pos="4419"/>
        <w:tab w:val="right" w:pos="8838"/>
      </w:tabs>
      <w:spacing w:after="0" w:line="240" w:lineRule="auto"/>
    </w:pPr>
  </w:p>
  <w:p w14:paraId="00F115D4" w14:textId="77777777" w:rsidR="002022F1" w:rsidRDefault="002022F1">
    <w:pPr>
      <w:pBdr>
        <w:top w:val="nil"/>
        <w:left w:val="nil"/>
        <w:bottom w:val="nil"/>
        <w:right w:val="nil"/>
        <w:between w:val="nil"/>
      </w:pBdr>
      <w:tabs>
        <w:tab w:val="center" w:pos="4419"/>
        <w:tab w:val="right" w:pos="8838"/>
      </w:tabs>
      <w:spacing w:after="0" w:line="240" w:lineRule="auto"/>
    </w:pPr>
  </w:p>
  <w:p w14:paraId="3BDF0496" w14:textId="77777777" w:rsidR="002022F1" w:rsidRDefault="002022F1">
    <w:pPr>
      <w:pBdr>
        <w:top w:val="nil"/>
        <w:left w:val="nil"/>
        <w:bottom w:val="nil"/>
        <w:right w:val="nil"/>
        <w:between w:val="nil"/>
      </w:pBdr>
      <w:tabs>
        <w:tab w:val="center" w:pos="4419"/>
        <w:tab w:val="right" w:pos="8838"/>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36DB7"/>
    <w:multiLevelType w:val="hybridMultilevel"/>
    <w:tmpl w:val="37341D56"/>
    <w:lvl w:ilvl="0" w:tplc="6DDCF96E">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15:restartNumberingAfterBreak="0">
    <w:nsid w:val="12D05856"/>
    <w:multiLevelType w:val="multilevel"/>
    <w:tmpl w:val="3E800F3A"/>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0B01E4"/>
    <w:multiLevelType w:val="multilevel"/>
    <w:tmpl w:val="8C9EFF2A"/>
    <w:lvl w:ilvl="0">
      <w:start w:val="1"/>
      <w:numFmt w:val="bullet"/>
      <w:lvlText w:val="●"/>
      <w:lvlJc w:val="left"/>
      <w:pPr>
        <w:ind w:left="1635" w:hanging="1275"/>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482731"/>
    <w:multiLevelType w:val="hybridMultilevel"/>
    <w:tmpl w:val="E3828290"/>
    <w:lvl w:ilvl="0" w:tplc="7CB6B77E">
      <w:start w:val="1"/>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DC83C87"/>
    <w:multiLevelType w:val="multilevel"/>
    <w:tmpl w:val="87F0817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963F7F"/>
    <w:multiLevelType w:val="multilevel"/>
    <w:tmpl w:val="63CABC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675191A"/>
    <w:multiLevelType w:val="multilevel"/>
    <w:tmpl w:val="7CECFF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FA5421"/>
    <w:multiLevelType w:val="multilevel"/>
    <w:tmpl w:val="716A48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5"/>
  </w:num>
  <w:num w:numId="3">
    <w:abstractNumId w:val="7"/>
  </w:num>
  <w:num w:numId="4">
    <w:abstractNumId w:val="6"/>
  </w:num>
  <w:num w:numId="5">
    <w:abstractNumId w:val="4"/>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CAF"/>
    <w:rsid w:val="000015C9"/>
    <w:rsid w:val="00011E7A"/>
    <w:rsid w:val="000256A1"/>
    <w:rsid w:val="00025EFB"/>
    <w:rsid w:val="000305FD"/>
    <w:rsid w:val="0003254B"/>
    <w:rsid w:val="00037460"/>
    <w:rsid w:val="000406B4"/>
    <w:rsid w:val="00064CF0"/>
    <w:rsid w:val="000A4D6B"/>
    <w:rsid w:val="000A7CAF"/>
    <w:rsid w:val="000B6739"/>
    <w:rsid w:val="000E0828"/>
    <w:rsid w:val="000F56F4"/>
    <w:rsid w:val="0010058E"/>
    <w:rsid w:val="001017D7"/>
    <w:rsid w:val="001020DD"/>
    <w:rsid w:val="00104DB9"/>
    <w:rsid w:val="00161ED0"/>
    <w:rsid w:val="00166635"/>
    <w:rsid w:val="0017073B"/>
    <w:rsid w:val="00177566"/>
    <w:rsid w:val="001A0CC2"/>
    <w:rsid w:val="001A3D1C"/>
    <w:rsid w:val="001B6BC6"/>
    <w:rsid w:val="002022F1"/>
    <w:rsid w:val="00227617"/>
    <w:rsid w:val="00255D25"/>
    <w:rsid w:val="002663A2"/>
    <w:rsid w:val="002738CD"/>
    <w:rsid w:val="00293B37"/>
    <w:rsid w:val="00314EC9"/>
    <w:rsid w:val="003310A5"/>
    <w:rsid w:val="00331152"/>
    <w:rsid w:val="00332691"/>
    <w:rsid w:val="0033497F"/>
    <w:rsid w:val="0035170B"/>
    <w:rsid w:val="00351D72"/>
    <w:rsid w:val="00390ADF"/>
    <w:rsid w:val="003A15E6"/>
    <w:rsid w:val="003A4D37"/>
    <w:rsid w:val="003F6952"/>
    <w:rsid w:val="00404243"/>
    <w:rsid w:val="00412AC6"/>
    <w:rsid w:val="004575FF"/>
    <w:rsid w:val="00483C05"/>
    <w:rsid w:val="004C2913"/>
    <w:rsid w:val="004F133B"/>
    <w:rsid w:val="005031F7"/>
    <w:rsid w:val="00511539"/>
    <w:rsid w:val="00515F5E"/>
    <w:rsid w:val="00534087"/>
    <w:rsid w:val="00555B98"/>
    <w:rsid w:val="005866E7"/>
    <w:rsid w:val="00587298"/>
    <w:rsid w:val="005A6D83"/>
    <w:rsid w:val="005E6A74"/>
    <w:rsid w:val="005F5439"/>
    <w:rsid w:val="0061084A"/>
    <w:rsid w:val="00610EDE"/>
    <w:rsid w:val="006138DA"/>
    <w:rsid w:val="00621A88"/>
    <w:rsid w:val="006415B8"/>
    <w:rsid w:val="006602E4"/>
    <w:rsid w:val="00680572"/>
    <w:rsid w:val="00683685"/>
    <w:rsid w:val="006B0AD6"/>
    <w:rsid w:val="006B0C50"/>
    <w:rsid w:val="006B657B"/>
    <w:rsid w:val="006D6E26"/>
    <w:rsid w:val="006E3A8E"/>
    <w:rsid w:val="006F084E"/>
    <w:rsid w:val="006F519B"/>
    <w:rsid w:val="00701BB3"/>
    <w:rsid w:val="00705B98"/>
    <w:rsid w:val="00714406"/>
    <w:rsid w:val="00736087"/>
    <w:rsid w:val="00753BDA"/>
    <w:rsid w:val="007604D6"/>
    <w:rsid w:val="007871A3"/>
    <w:rsid w:val="007B69F3"/>
    <w:rsid w:val="007F4863"/>
    <w:rsid w:val="00821A8F"/>
    <w:rsid w:val="008232B3"/>
    <w:rsid w:val="00843BE6"/>
    <w:rsid w:val="008452E6"/>
    <w:rsid w:val="008B6F64"/>
    <w:rsid w:val="008C7D0E"/>
    <w:rsid w:val="008E0388"/>
    <w:rsid w:val="008F0A38"/>
    <w:rsid w:val="00905F11"/>
    <w:rsid w:val="00930122"/>
    <w:rsid w:val="009337AB"/>
    <w:rsid w:val="00937916"/>
    <w:rsid w:val="00950D87"/>
    <w:rsid w:val="009627E7"/>
    <w:rsid w:val="009A5C93"/>
    <w:rsid w:val="009C48F9"/>
    <w:rsid w:val="00A352AD"/>
    <w:rsid w:val="00A5626B"/>
    <w:rsid w:val="00AA34CD"/>
    <w:rsid w:val="00AB3CD5"/>
    <w:rsid w:val="00AD5E8D"/>
    <w:rsid w:val="00AE5758"/>
    <w:rsid w:val="00AF34F5"/>
    <w:rsid w:val="00B02354"/>
    <w:rsid w:val="00B03B0E"/>
    <w:rsid w:val="00B05202"/>
    <w:rsid w:val="00B22423"/>
    <w:rsid w:val="00B2545F"/>
    <w:rsid w:val="00BD67A1"/>
    <w:rsid w:val="00BF7A23"/>
    <w:rsid w:val="00C277C6"/>
    <w:rsid w:val="00C55AF9"/>
    <w:rsid w:val="00C72DCF"/>
    <w:rsid w:val="00C93A70"/>
    <w:rsid w:val="00CA0C3F"/>
    <w:rsid w:val="00CA20E4"/>
    <w:rsid w:val="00CC1EC7"/>
    <w:rsid w:val="00D065EA"/>
    <w:rsid w:val="00D14429"/>
    <w:rsid w:val="00D16C3E"/>
    <w:rsid w:val="00D43310"/>
    <w:rsid w:val="00D625B9"/>
    <w:rsid w:val="00D702F5"/>
    <w:rsid w:val="00DA7C26"/>
    <w:rsid w:val="00E000BE"/>
    <w:rsid w:val="00E1408E"/>
    <w:rsid w:val="00E34100"/>
    <w:rsid w:val="00E47D47"/>
    <w:rsid w:val="00E6411D"/>
    <w:rsid w:val="00E81350"/>
    <w:rsid w:val="00E9084B"/>
    <w:rsid w:val="00EA61D4"/>
    <w:rsid w:val="00EF6998"/>
    <w:rsid w:val="00F01F22"/>
    <w:rsid w:val="00F05C89"/>
    <w:rsid w:val="00F12201"/>
    <w:rsid w:val="00F8542A"/>
    <w:rsid w:val="00F9261E"/>
    <w:rsid w:val="00FC5409"/>
    <w:rsid w:val="00FC7A6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EA5CF9"/>
  <w15:docId w15:val="{4AAEAE48-5E8E-40D0-8D40-51C3975DA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05E"/>
  </w:style>
  <w:style w:type="paragraph" w:styleId="Ttulo1">
    <w:name w:val="heading 1"/>
    <w:basedOn w:val="Normal"/>
    <w:next w:val="Normal"/>
    <w:link w:val="Ttulo1Car"/>
    <w:uiPriority w:val="9"/>
    <w:qFormat/>
    <w:rsid w:val="00D474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B1E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62B8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EA5D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customStyle="1" w:styleId="TableNormal0">
    <w:name w:val="Table Normal"/>
    <w:tblPr>
      <w:tblCellMar>
        <w:top w:w="0" w:type="dxa"/>
        <w:left w:w="0" w:type="dxa"/>
        <w:bottom w:w="0" w:type="dxa"/>
        <w:right w:w="0" w:type="dxa"/>
      </w:tblCellMar>
    </w:tblPr>
  </w:style>
  <w:style w:type="paragraph" w:styleId="Sinespaciado">
    <w:name w:val="No Spacing"/>
    <w:link w:val="SinespaciadoCar"/>
    <w:uiPriority w:val="1"/>
    <w:qFormat/>
    <w:rsid w:val="005468DB"/>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5468DB"/>
    <w:rPr>
      <w:rFonts w:eastAsiaTheme="minorEastAsia"/>
      <w:lang w:eastAsia="es-CO"/>
    </w:rPr>
  </w:style>
  <w:style w:type="paragraph" w:styleId="Textodeglobo">
    <w:name w:val="Balloon Text"/>
    <w:basedOn w:val="Normal"/>
    <w:link w:val="TextodegloboCar"/>
    <w:uiPriority w:val="99"/>
    <w:semiHidden/>
    <w:unhideWhenUsed/>
    <w:rsid w:val="005468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68DB"/>
    <w:rPr>
      <w:rFonts w:ascii="Tahoma" w:hAnsi="Tahoma" w:cs="Tahoma"/>
      <w:sz w:val="16"/>
      <w:szCs w:val="16"/>
    </w:rPr>
  </w:style>
  <w:style w:type="paragraph" w:styleId="Encabezado">
    <w:name w:val="header"/>
    <w:basedOn w:val="Normal"/>
    <w:link w:val="EncabezadoCar"/>
    <w:uiPriority w:val="99"/>
    <w:unhideWhenUsed/>
    <w:rsid w:val="005468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68DB"/>
  </w:style>
  <w:style w:type="paragraph" w:styleId="Piedepgina">
    <w:name w:val="footer"/>
    <w:basedOn w:val="Normal"/>
    <w:link w:val="PiedepginaCar"/>
    <w:uiPriority w:val="99"/>
    <w:unhideWhenUsed/>
    <w:rsid w:val="005468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68DB"/>
  </w:style>
  <w:style w:type="character" w:customStyle="1" w:styleId="Ttulo1Car">
    <w:name w:val="Título 1 Car"/>
    <w:basedOn w:val="Fuentedeprrafopredeter"/>
    <w:link w:val="Ttulo1"/>
    <w:uiPriority w:val="9"/>
    <w:rsid w:val="00D4741F"/>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D4741F"/>
    <w:pPr>
      <w:outlineLvl w:val="9"/>
    </w:pPr>
  </w:style>
  <w:style w:type="paragraph" w:styleId="Prrafodelista">
    <w:name w:val="List Paragraph"/>
    <w:basedOn w:val="Normal"/>
    <w:uiPriority w:val="34"/>
    <w:qFormat/>
    <w:rsid w:val="00D4741F"/>
    <w:pPr>
      <w:ind w:left="720"/>
      <w:contextualSpacing/>
    </w:pPr>
  </w:style>
  <w:style w:type="character" w:customStyle="1" w:styleId="PuestoCar">
    <w:name w:val="Puesto Car"/>
    <w:basedOn w:val="Fuentedeprrafopredeter"/>
    <w:link w:val="Puesto"/>
    <w:uiPriority w:val="10"/>
    <w:rsid w:val="00EA5D61"/>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rPr>
      <w:rFonts w:ascii="Cambria" w:eastAsia="Cambria" w:hAnsi="Cambria" w:cs="Cambria"/>
      <w:i/>
      <w:color w:val="4F81BD"/>
      <w:sz w:val="24"/>
      <w:szCs w:val="24"/>
    </w:rPr>
  </w:style>
  <w:style w:type="character" w:customStyle="1" w:styleId="SubttuloCar">
    <w:name w:val="Subtítulo Car"/>
    <w:basedOn w:val="Fuentedeprrafopredeter"/>
    <w:link w:val="Subttulo"/>
    <w:uiPriority w:val="11"/>
    <w:rsid w:val="004456B8"/>
    <w:rPr>
      <w:rFonts w:asciiTheme="majorHAnsi" w:eastAsiaTheme="majorEastAsia" w:hAnsiTheme="majorHAnsi" w:cstheme="majorBidi"/>
      <w:i/>
      <w:iCs/>
      <w:color w:val="4F81BD" w:themeColor="accent1"/>
      <w:spacing w:val="15"/>
      <w:sz w:val="24"/>
      <w:szCs w:val="24"/>
    </w:rPr>
  </w:style>
  <w:style w:type="paragraph" w:styleId="TDC2">
    <w:name w:val="toc 2"/>
    <w:basedOn w:val="Normal"/>
    <w:next w:val="Normal"/>
    <w:autoRedefine/>
    <w:uiPriority w:val="39"/>
    <w:unhideWhenUsed/>
    <w:qFormat/>
    <w:rsid w:val="00262B8F"/>
    <w:pPr>
      <w:tabs>
        <w:tab w:val="left" w:pos="660"/>
        <w:tab w:val="right" w:leader="dot" w:pos="8828"/>
      </w:tabs>
      <w:spacing w:after="100"/>
      <w:ind w:left="220"/>
    </w:pPr>
    <w:rPr>
      <w:rFonts w:eastAsiaTheme="minorEastAsia"/>
      <w:b/>
      <w:noProof/>
      <w:color w:val="4F81BD" w:themeColor="accent1"/>
      <w:sz w:val="28"/>
      <w:szCs w:val="28"/>
    </w:rPr>
  </w:style>
  <w:style w:type="paragraph" w:styleId="TDC1">
    <w:name w:val="toc 1"/>
    <w:basedOn w:val="Normal"/>
    <w:next w:val="Normal"/>
    <w:autoRedefine/>
    <w:uiPriority w:val="39"/>
    <w:unhideWhenUsed/>
    <w:qFormat/>
    <w:rsid w:val="00262B8F"/>
    <w:pPr>
      <w:tabs>
        <w:tab w:val="right" w:leader="dot" w:pos="8828"/>
      </w:tabs>
      <w:spacing w:after="100"/>
    </w:pPr>
    <w:rPr>
      <w:rFonts w:eastAsiaTheme="minorEastAsia"/>
      <w:b/>
      <w:noProof/>
      <w:color w:val="1F497D" w:themeColor="text2"/>
      <w:sz w:val="32"/>
      <w:szCs w:val="32"/>
    </w:rPr>
  </w:style>
  <w:style w:type="paragraph" w:styleId="TDC3">
    <w:name w:val="toc 3"/>
    <w:basedOn w:val="Normal"/>
    <w:next w:val="Normal"/>
    <w:autoRedefine/>
    <w:uiPriority w:val="39"/>
    <w:unhideWhenUsed/>
    <w:qFormat/>
    <w:rsid w:val="004E07D0"/>
    <w:pPr>
      <w:spacing w:after="100"/>
      <w:ind w:left="440"/>
    </w:pPr>
    <w:rPr>
      <w:rFonts w:eastAsiaTheme="minorEastAsia"/>
    </w:rPr>
  </w:style>
  <w:style w:type="character" w:styleId="Hipervnculo">
    <w:name w:val="Hyperlink"/>
    <w:basedOn w:val="Fuentedeprrafopredeter"/>
    <w:uiPriority w:val="99"/>
    <w:unhideWhenUsed/>
    <w:rsid w:val="004E07D0"/>
    <w:rPr>
      <w:color w:val="0000FF" w:themeColor="hyperlink"/>
      <w:u w:val="single"/>
    </w:rPr>
  </w:style>
  <w:style w:type="character" w:customStyle="1" w:styleId="Ttulo2Car">
    <w:name w:val="Título 2 Car"/>
    <w:basedOn w:val="Fuentedeprrafopredeter"/>
    <w:link w:val="Ttulo2"/>
    <w:uiPriority w:val="9"/>
    <w:rsid w:val="008B1E9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262B8F"/>
    <w:rPr>
      <w:rFonts w:asciiTheme="majorHAnsi" w:eastAsiaTheme="majorEastAsia" w:hAnsiTheme="majorHAnsi" w:cstheme="majorBidi"/>
      <w:b/>
      <w:bCs/>
      <w:color w:val="4F81BD" w:themeColor="accent1"/>
    </w:rPr>
  </w:style>
  <w:style w:type="paragraph" w:styleId="Textonotapie">
    <w:name w:val="footnote text"/>
    <w:basedOn w:val="Normal"/>
    <w:link w:val="TextonotapieCar"/>
    <w:uiPriority w:val="99"/>
    <w:semiHidden/>
    <w:unhideWhenUsed/>
    <w:rsid w:val="00B2605E"/>
    <w:pPr>
      <w:spacing w:after="0" w:line="240" w:lineRule="auto"/>
    </w:pPr>
    <w:rPr>
      <w:rFonts w:eastAsiaTheme="minorEastAsia"/>
      <w:sz w:val="20"/>
      <w:szCs w:val="20"/>
    </w:rPr>
  </w:style>
  <w:style w:type="character" w:customStyle="1" w:styleId="TextonotapieCar">
    <w:name w:val="Texto nota pie Car"/>
    <w:basedOn w:val="Fuentedeprrafopredeter"/>
    <w:link w:val="Textonotapie"/>
    <w:uiPriority w:val="99"/>
    <w:semiHidden/>
    <w:rsid w:val="00B2605E"/>
    <w:rPr>
      <w:rFonts w:eastAsiaTheme="minorEastAsia"/>
      <w:sz w:val="20"/>
      <w:szCs w:val="20"/>
      <w:lang w:eastAsia="es-CO"/>
    </w:rPr>
  </w:style>
  <w:style w:type="character" w:styleId="Refdenotaalpie">
    <w:name w:val="footnote reference"/>
    <w:basedOn w:val="Fuentedeprrafopredeter"/>
    <w:uiPriority w:val="99"/>
    <w:semiHidden/>
    <w:unhideWhenUsed/>
    <w:rsid w:val="00B2605E"/>
    <w:rPr>
      <w:vertAlign w:val="superscript"/>
    </w:rPr>
  </w:style>
  <w:style w:type="table" w:styleId="Tablaconcuadrcula">
    <w:name w:val="Table Grid"/>
    <w:basedOn w:val="Tablanormal"/>
    <w:uiPriority w:val="39"/>
    <w:rsid w:val="00B2605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303CF"/>
    <w:rPr>
      <w:sz w:val="16"/>
      <w:szCs w:val="16"/>
    </w:rPr>
  </w:style>
  <w:style w:type="paragraph" w:styleId="Textocomentario">
    <w:name w:val="annotation text"/>
    <w:basedOn w:val="Normal"/>
    <w:link w:val="TextocomentarioCar"/>
    <w:uiPriority w:val="99"/>
    <w:semiHidden/>
    <w:unhideWhenUsed/>
    <w:rsid w:val="008303C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03CF"/>
    <w:rPr>
      <w:sz w:val="20"/>
      <w:szCs w:val="20"/>
    </w:rPr>
  </w:style>
  <w:style w:type="paragraph" w:styleId="Asuntodelcomentario">
    <w:name w:val="annotation subject"/>
    <w:basedOn w:val="Textocomentario"/>
    <w:next w:val="Textocomentario"/>
    <w:link w:val="AsuntodelcomentarioCar"/>
    <w:uiPriority w:val="99"/>
    <w:semiHidden/>
    <w:unhideWhenUsed/>
    <w:rsid w:val="008303CF"/>
    <w:rPr>
      <w:b/>
      <w:bCs/>
    </w:rPr>
  </w:style>
  <w:style w:type="character" w:customStyle="1" w:styleId="AsuntodelcomentarioCar">
    <w:name w:val="Asunto del comentario Car"/>
    <w:basedOn w:val="TextocomentarioCar"/>
    <w:link w:val="Asuntodelcomentario"/>
    <w:uiPriority w:val="99"/>
    <w:semiHidden/>
    <w:rsid w:val="008303CF"/>
    <w:rPr>
      <w:b/>
      <w:bCs/>
      <w:sz w:val="20"/>
      <w:szCs w:val="20"/>
    </w:rPr>
  </w:style>
  <w:style w:type="paragraph" w:styleId="Bibliografa">
    <w:name w:val="Bibliography"/>
    <w:basedOn w:val="Normal"/>
    <w:next w:val="Normal"/>
    <w:uiPriority w:val="37"/>
    <w:unhideWhenUsed/>
    <w:rsid w:val="004F2BFC"/>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pPr>
      <w:spacing w:after="0" w:line="240" w:lineRule="auto"/>
    </w:pPr>
    <w:tblPr>
      <w:tblStyleRowBandSize w:val="1"/>
      <w:tblStyleColBandSize w:val="1"/>
      <w:tblCellMar>
        <w:left w:w="70" w:type="dxa"/>
        <w:right w:w="70" w:type="dxa"/>
      </w:tblCellMar>
    </w:tblPr>
  </w:style>
  <w:style w:type="table" w:customStyle="1" w:styleId="a6">
    <w:basedOn w:val="TableNormal0"/>
    <w:pPr>
      <w:spacing w:after="0" w:line="240" w:lineRule="auto"/>
    </w:pPr>
    <w:tblPr>
      <w:tblStyleRowBandSize w:val="1"/>
      <w:tblStyleColBandSize w:val="1"/>
      <w:tblCellMar>
        <w:left w:w="70" w:type="dxa"/>
        <w:right w:w="70" w:type="dxa"/>
      </w:tblCellMar>
    </w:tblPr>
  </w:style>
  <w:style w:type="table" w:customStyle="1" w:styleId="a7">
    <w:basedOn w:val="TableNormal0"/>
    <w:pPr>
      <w:spacing w:after="0" w:line="240" w:lineRule="auto"/>
    </w:pPr>
    <w:tblPr>
      <w:tblStyleRowBandSize w:val="1"/>
      <w:tblStyleColBandSize w:val="1"/>
      <w:tblCellMar>
        <w:left w:w="70" w:type="dxa"/>
        <w:right w:w="70" w:type="dxa"/>
      </w:tblCellMar>
    </w:tblPr>
  </w:style>
  <w:style w:type="table" w:customStyle="1" w:styleId="a8">
    <w:basedOn w:val="TableNormal0"/>
    <w:pPr>
      <w:spacing w:after="0" w:line="240" w:lineRule="auto"/>
    </w:pPr>
    <w:tblPr>
      <w:tblStyleRowBandSize w:val="1"/>
      <w:tblStyleColBandSize w:val="1"/>
      <w:tblCellMar>
        <w:left w:w="70" w:type="dxa"/>
        <w:right w:w="70" w:type="dxa"/>
      </w:tblCellMar>
    </w:tblPr>
  </w:style>
  <w:style w:type="table" w:customStyle="1" w:styleId="a9">
    <w:basedOn w:val="TableNormal0"/>
    <w:pPr>
      <w:spacing w:after="0" w:line="240" w:lineRule="auto"/>
    </w:pPr>
    <w:tblPr>
      <w:tblStyleRowBandSize w:val="1"/>
      <w:tblStyleColBandSize w:val="1"/>
      <w:tblCellMar>
        <w:left w:w="70" w:type="dxa"/>
        <w:right w:w="70" w:type="dxa"/>
      </w:tblCellMar>
    </w:tblPr>
  </w:style>
  <w:style w:type="paragraph" w:styleId="NormalWeb">
    <w:name w:val="Normal (Web)"/>
    <w:basedOn w:val="Normal"/>
    <w:uiPriority w:val="99"/>
    <w:unhideWhenUsed/>
    <w:rsid w:val="00701BB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783630">
      <w:bodyDiv w:val="1"/>
      <w:marLeft w:val="0"/>
      <w:marRight w:val="0"/>
      <w:marTop w:val="0"/>
      <w:marBottom w:val="0"/>
      <w:divBdr>
        <w:top w:val="none" w:sz="0" w:space="0" w:color="auto"/>
        <w:left w:val="none" w:sz="0" w:space="0" w:color="auto"/>
        <w:bottom w:val="none" w:sz="0" w:space="0" w:color="auto"/>
        <w:right w:val="none" w:sz="0" w:space="0" w:color="auto"/>
      </w:divBdr>
    </w:div>
    <w:div w:id="413167514">
      <w:bodyDiv w:val="1"/>
      <w:marLeft w:val="0"/>
      <w:marRight w:val="0"/>
      <w:marTop w:val="0"/>
      <w:marBottom w:val="0"/>
      <w:divBdr>
        <w:top w:val="none" w:sz="0" w:space="0" w:color="auto"/>
        <w:left w:val="none" w:sz="0" w:space="0" w:color="auto"/>
        <w:bottom w:val="none" w:sz="0" w:space="0" w:color="auto"/>
        <w:right w:val="none" w:sz="0" w:space="0" w:color="auto"/>
      </w:divBdr>
    </w:div>
    <w:div w:id="786003210">
      <w:bodyDiv w:val="1"/>
      <w:marLeft w:val="0"/>
      <w:marRight w:val="0"/>
      <w:marTop w:val="0"/>
      <w:marBottom w:val="0"/>
      <w:divBdr>
        <w:top w:val="none" w:sz="0" w:space="0" w:color="auto"/>
        <w:left w:val="none" w:sz="0" w:space="0" w:color="auto"/>
        <w:bottom w:val="none" w:sz="0" w:space="0" w:color="auto"/>
        <w:right w:val="none" w:sz="0" w:space="0" w:color="auto"/>
      </w:divBdr>
    </w:div>
    <w:div w:id="812675229">
      <w:bodyDiv w:val="1"/>
      <w:marLeft w:val="0"/>
      <w:marRight w:val="0"/>
      <w:marTop w:val="0"/>
      <w:marBottom w:val="0"/>
      <w:divBdr>
        <w:top w:val="none" w:sz="0" w:space="0" w:color="auto"/>
        <w:left w:val="none" w:sz="0" w:space="0" w:color="auto"/>
        <w:bottom w:val="none" w:sz="0" w:space="0" w:color="auto"/>
        <w:right w:val="none" w:sz="0" w:space="0" w:color="auto"/>
      </w:divBdr>
    </w:div>
    <w:div w:id="944730843">
      <w:bodyDiv w:val="1"/>
      <w:marLeft w:val="0"/>
      <w:marRight w:val="0"/>
      <w:marTop w:val="0"/>
      <w:marBottom w:val="0"/>
      <w:divBdr>
        <w:top w:val="none" w:sz="0" w:space="0" w:color="auto"/>
        <w:left w:val="none" w:sz="0" w:space="0" w:color="auto"/>
        <w:bottom w:val="none" w:sz="0" w:space="0" w:color="auto"/>
        <w:right w:val="none" w:sz="0" w:space="0" w:color="auto"/>
      </w:divBdr>
    </w:div>
    <w:div w:id="949437800">
      <w:bodyDiv w:val="1"/>
      <w:marLeft w:val="0"/>
      <w:marRight w:val="0"/>
      <w:marTop w:val="0"/>
      <w:marBottom w:val="0"/>
      <w:divBdr>
        <w:top w:val="none" w:sz="0" w:space="0" w:color="auto"/>
        <w:left w:val="none" w:sz="0" w:space="0" w:color="auto"/>
        <w:bottom w:val="none" w:sz="0" w:space="0" w:color="auto"/>
        <w:right w:val="none" w:sz="0" w:space="0" w:color="auto"/>
      </w:divBdr>
    </w:div>
    <w:div w:id="994913485">
      <w:bodyDiv w:val="1"/>
      <w:marLeft w:val="0"/>
      <w:marRight w:val="0"/>
      <w:marTop w:val="0"/>
      <w:marBottom w:val="0"/>
      <w:divBdr>
        <w:top w:val="none" w:sz="0" w:space="0" w:color="auto"/>
        <w:left w:val="none" w:sz="0" w:space="0" w:color="auto"/>
        <w:bottom w:val="none" w:sz="0" w:space="0" w:color="auto"/>
        <w:right w:val="none" w:sz="0" w:space="0" w:color="auto"/>
      </w:divBdr>
    </w:div>
    <w:div w:id="1021128433">
      <w:bodyDiv w:val="1"/>
      <w:marLeft w:val="0"/>
      <w:marRight w:val="0"/>
      <w:marTop w:val="0"/>
      <w:marBottom w:val="0"/>
      <w:divBdr>
        <w:top w:val="none" w:sz="0" w:space="0" w:color="auto"/>
        <w:left w:val="none" w:sz="0" w:space="0" w:color="auto"/>
        <w:bottom w:val="none" w:sz="0" w:space="0" w:color="auto"/>
        <w:right w:val="none" w:sz="0" w:space="0" w:color="auto"/>
      </w:divBdr>
    </w:div>
    <w:div w:id="1135761697">
      <w:bodyDiv w:val="1"/>
      <w:marLeft w:val="0"/>
      <w:marRight w:val="0"/>
      <w:marTop w:val="0"/>
      <w:marBottom w:val="0"/>
      <w:divBdr>
        <w:top w:val="none" w:sz="0" w:space="0" w:color="auto"/>
        <w:left w:val="none" w:sz="0" w:space="0" w:color="auto"/>
        <w:bottom w:val="none" w:sz="0" w:space="0" w:color="auto"/>
        <w:right w:val="none" w:sz="0" w:space="0" w:color="auto"/>
      </w:divBdr>
    </w:div>
    <w:div w:id="1176185346">
      <w:bodyDiv w:val="1"/>
      <w:marLeft w:val="0"/>
      <w:marRight w:val="0"/>
      <w:marTop w:val="0"/>
      <w:marBottom w:val="0"/>
      <w:divBdr>
        <w:top w:val="none" w:sz="0" w:space="0" w:color="auto"/>
        <w:left w:val="none" w:sz="0" w:space="0" w:color="auto"/>
        <w:bottom w:val="none" w:sz="0" w:space="0" w:color="auto"/>
        <w:right w:val="none" w:sz="0" w:space="0" w:color="auto"/>
      </w:divBdr>
    </w:div>
    <w:div w:id="1275554107">
      <w:bodyDiv w:val="1"/>
      <w:marLeft w:val="0"/>
      <w:marRight w:val="0"/>
      <w:marTop w:val="0"/>
      <w:marBottom w:val="0"/>
      <w:divBdr>
        <w:top w:val="none" w:sz="0" w:space="0" w:color="auto"/>
        <w:left w:val="none" w:sz="0" w:space="0" w:color="auto"/>
        <w:bottom w:val="none" w:sz="0" w:space="0" w:color="auto"/>
        <w:right w:val="none" w:sz="0" w:space="0" w:color="auto"/>
      </w:divBdr>
    </w:div>
    <w:div w:id="1575310204">
      <w:bodyDiv w:val="1"/>
      <w:marLeft w:val="0"/>
      <w:marRight w:val="0"/>
      <w:marTop w:val="0"/>
      <w:marBottom w:val="0"/>
      <w:divBdr>
        <w:top w:val="none" w:sz="0" w:space="0" w:color="auto"/>
        <w:left w:val="none" w:sz="0" w:space="0" w:color="auto"/>
        <w:bottom w:val="none" w:sz="0" w:space="0" w:color="auto"/>
        <w:right w:val="none" w:sz="0" w:space="0" w:color="auto"/>
      </w:divBdr>
    </w:div>
    <w:div w:id="1638100752">
      <w:bodyDiv w:val="1"/>
      <w:marLeft w:val="0"/>
      <w:marRight w:val="0"/>
      <w:marTop w:val="0"/>
      <w:marBottom w:val="0"/>
      <w:divBdr>
        <w:top w:val="none" w:sz="0" w:space="0" w:color="auto"/>
        <w:left w:val="none" w:sz="0" w:space="0" w:color="auto"/>
        <w:bottom w:val="none" w:sz="0" w:space="0" w:color="auto"/>
        <w:right w:val="none" w:sz="0" w:space="0" w:color="auto"/>
      </w:divBdr>
    </w:div>
    <w:div w:id="1722092275">
      <w:bodyDiv w:val="1"/>
      <w:marLeft w:val="0"/>
      <w:marRight w:val="0"/>
      <w:marTop w:val="0"/>
      <w:marBottom w:val="0"/>
      <w:divBdr>
        <w:top w:val="none" w:sz="0" w:space="0" w:color="auto"/>
        <w:left w:val="none" w:sz="0" w:space="0" w:color="auto"/>
        <w:bottom w:val="none" w:sz="0" w:space="0" w:color="auto"/>
        <w:right w:val="none" w:sz="0" w:space="0" w:color="auto"/>
      </w:divBdr>
    </w:div>
    <w:div w:id="1851410656">
      <w:bodyDiv w:val="1"/>
      <w:marLeft w:val="0"/>
      <w:marRight w:val="0"/>
      <w:marTop w:val="0"/>
      <w:marBottom w:val="0"/>
      <w:divBdr>
        <w:top w:val="none" w:sz="0" w:space="0" w:color="auto"/>
        <w:left w:val="none" w:sz="0" w:space="0" w:color="auto"/>
        <w:bottom w:val="none" w:sz="0" w:space="0" w:color="auto"/>
        <w:right w:val="none" w:sz="0" w:space="0" w:color="auto"/>
      </w:divBdr>
    </w:div>
    <w:div w:id="1928227730">
      <w:bodyDiv w:val="1"/>
      <w:marLeft w:val="0"/>
      <w:marRight w:val="0"/>
      <w:marTop w:val="0"/>
      <w:marBottom w:val="0"/>
      <w:divBdr>
        <w:top w:val="none" w:sz="0" w:space="0" w:color="auto"/>
        <w:left w:val="none" w:sz="0" w:space="0" w:color="auto"/>
        <w:bottom w:val="none" w:sz="0" w:space="0" w:color="auto"/>
        <w:right w:val="none" w:sz="0" w:space="0" w:color="auto"/>
      </w:divBdr>
    </w:div>
    <w:div w:id="2076006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chart" Target="charts/chart3.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6.emf"/><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emf"/><Relationship Id="rId30" Type="http://schemas.openxmlformats.org/officeDocument/2006/relationships/image" Target="media/image18.jpeg"/><Relationship Id="rId56"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http://www.banrep.gov.co/publicaciones?keys=&amp;title=&amp;tid=6534&amp;field_editor_value=&amp;tid_2=All&amp;tid_1=All&amp;keys_1=&amp;field_year_value=&amp;field_dia_value=All&amp;field_month_value=All&amp;language=All&amp;field_publication_number_value=" TargetMode="External"/><Relationship Id="rId2" Type="http://schemas.openxmlformats.org/officeDocument/2006/relationships/hyperlink" Target="https://www.veeduriadistrital.gov.co/sites/default/files/files/Informe%20Balance%20tres%20a%C3%B1os_03042019.pdf" TargetMode="External"/><Relationship Id="rId1" Type="http://schemas.openxmlformats.org/officeDocument/2006/relationships/hyperlink" Target="http://observatorio.desarrolloeconomico.gov.co/trabajo-decente-y-digno-mercado-laboral/tasa-de-desempleo-en-bogota-se-ubico-en-104-para-el" TargetMode="External"/><Relationship Id="rId5" Type="http://schemas.openxmlformats.org/officeDocument/2006/relationships/hyperlink" Target="https://blogs.iadb.org/ideas-matter/en/a-rapid-transit-system-that-boosts-productivity/" TargetMode="External"/><Relationship Id="rId4" Type="http://schemas.openxmlformats.org/officeDocument/2006/relationships/hyperlink" Target="https://www.oecd.org/industry/smes/SPA-Highlights-Financing-SMEs-and-Entrepreneurs-2018.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computador%20fedesarrollo\SDDE\Coyuntura\An&#225;lisis%20Secretario\An&#225;lisis%20secretario%20laboral\Gr&#225;ficas%20relaci&#243;n%20PIB%20-%20Emple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Secretar&#237;a\Requerimiento%20coyuntura\&#205;ndice%20de%20competitividad\Compilaci&#243;n%20de%20indicador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kmunoz\Downloads\Calidad%20Aeropuertos%20(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Hoja3!$D$8</c:f>
              <c:strCache>
                <c:ptCount val="1"/>
                <c:pt idx="0">
                  <c:v>Proyección de crecimiento 2019</c:v>
                </c:pt>
              </c:strCache>
            </c:strRef>
          </c:tx>
          <c:spPr>
            <a:solidFill>
              <a:schemeClr val="accent1"/>
            </a:solidFill>
            <a:ln w="762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Hoja3!$E$7:$M$7</c:f>
              <c:strCache>
                <c:ptCount val="9"/>
                <c:pt idx="0">
                  <c:v>Bogotá</c:v>
                </c:pt>
                <c:pt idx="1">
                  <c:v>Perú</c:v>
                </c:pt>
                <c:pt idx="2">
                  <c:v>Chile</c:v>
                </c:pt>
                <c:pt idx="3">
                  <c:v>Brasil</c:v>
                </c:pt>
                <c:pt idx="4">
                  <c:v>México</c:v>
                </c:pt>
                <c:pt idx="5">
                  <c:v>Ecuador</c:v>
                </c:pt>
                <c:pt idx="6">
                  <c:v>Argentina</c:v>
                </c:pt>
                <c:pt idx="7">
                  <c:v>Latinoamérica y el Caribe</c:v>
                </c:pt>
                <c:pt idx="8">
                  <c:v>Suramérica</c:v>
                </c:pt>
              </c:strCache>
            </c:strRef>
          </c:cat>
          <c:val>
            <c:numRef>
              <c:f>Hoja3!$E$8:$M$8</c:f>
              <c:numCache>
                <c:formatCode>General</c:formatCode>
                <c:ptCount val="9"/>
                <c:pt idx="0">
                  <c:v>3.3</c:v>
                </c:pt>
                <c:pt idx="1">
                  <c:v>2.6</c:v>
                </c:pt>
                <c:pt idx="2">
                  <c:v>2.5</c:v>
                </c:pt>
                <c:pt idx="3">
                  <c:v>0.9</c:v>
                </c:pt>
                <c:pt idx="4">
                  <c:v>0.4</c:v>
                </c:pt>
                <c:pt idx="5">
                  <c:v>-0.5</c:v>
                </c:pt>
                <c:pt idx="6">
                  <c:v>-3.1</c:v>
                </c:pt>
                <c:pt idx="7">
                  <c:v>0.2</c:v>
                </c:pt>
                <c:pt idx="8">
                  <c:v>-0.2</c:v>
                </c:pt>
              </c:numCache>
            </c:numRef>
          </c:val>
          <c:extLst xmlns:c16r2="http://schemas.microsoft.com/office/drawing/2015/06/chart">
            <c:ext xmlns:c16="http://schemas.microsoft.com/office/drawing/2014/chart" uri="{C3380CC4-5D6E-409C-BE32-E72D297353CC}">
              <c16:uniqueId val="{00000000-D7AE-4D4E-9986-570D333900A2}"/>
            </c:ext>
          </c:extLst>
        </c:ser>
        <c:dLbls>
          <c:showLegendKey val="0"/>
          <c:showVal val="0"/>
          <c:showCatName val="0"/>
          <c:showSerName val="0"/>
          <c:showPercent val="0"/>
          <c:showBubbleSize val="0"/>
        </c:dLbls>
        <c:gapWidth val="50"/>
        <c:overlap val="100"/>
        <c:axId val="312700080"/>
        <c:axId val="315870952"/>
      </c:barChart>
      <c:catAx>
        <c:axId val="3127000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5870952"/>
        <c:crosses val="autoZero"/>
        <c:auto val="1"/>
        <c:lblAlgn val="ctr"/>
        <c:lblOffset val="100"/>
        <c:noMultiLvlLbl val="0"/>
      </c:catAx>
      <c:valAx>
        <c:axId val="3158709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2700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CO"/>
              <a:t>Facilidad para hacer negocios </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CO"/>
        </a:p>
      </c:txPr>
    </c:title>
    <c:autoTitleDeleted val="0"/>
    <c:plotArea>
      <c:layout/>
      <c:barChart>
        <c:barDir val="bar"/>
        <c:grouping val="clustered"/>
        <c:varyColors val="0"/>
        <c:ser>
          <c:idx val="0"/>
          <c:order val="0"/>
          <c:spPr>
            <a:solidFill>
              <a:srgbClr val="002060"/>
            </a:solidFill>
            <a:ln>
              <a:noFill/>
            </a:ln>
            <a:effectLst/>
          </c:spPr>
          <c:invertIfNegative val="0"/>
          <c:dPt>
            <c:idx val="1"/>
            <c:invertIfNegative val="0"/>
            <c:bubble3D val="0"/>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1-EE62-4E35-BF42-68A04CC7794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'Facilidad para hacer negocios'!$B$2:$B$6</c:f>
              <c:strCache>
                <c:ptCount val="5"/>
                <c:pt idx="0">
                  <c:v>Ciudad de México</c:v>
                </c:pt>
                <c:pt idx="1">
                  <c:v>Bogotá </c:v>
                </c:pt>
                <c:pt idx="2">
                  <c:v>Lima</c:v>
                </c:pt>
                <c:pt idx="3">
                  <c:v>Santiago de Chile </c:v>
                </c:pt>
                <c:pt idx="4">
                  <c:v>Ciudad de Panamá</c:v>
                </c:pt>
              </c:strCache>
            </c:strRef>
          </c:cat>
          <c:val>
            <c:numRef>
              <c:f>'Facilidad para hacer negocios'!$C$2:$C$6</c:f>
              <c:numCache>
                <c:formatCode>General</c:formatCode>
                <c:ptCount val="5"/>
                <c:pt idx="0">
                  <c:v>47</c:v>
                </c:pt>
                <c:pt idx="1">
                  <c:v>53</c:v>
                </c:pt>
                <c:pt idx="2">
                  <c:v>54</c:v>
                </c:pt>
                <c:pt idx="3" formatCode="0.0">
                  <c:v>57</c:v>
                </c:pt>
                <c:pt idx="4">
                  <c:v>70</c:v>
                </c:pt>
              </c:numCache>
            </c:numRef>
          </c:val>
          <c:extLst xmlns:c16r2="http://schemas.microsoft.com/office/drawing/2015/06/chart">
            <c:ext xmlns:c16="http://schemas.microsoft.com/office/drawing/2014/chart" uri="{C3380CC4-5D6E-409C-BE32-E72D297353CC}">
              <c16:uniqueId val="{00000002-EE62-4E35-BF42-68A04CC77943}"/>
            </c:ext>
          </c:extLst>
        </c:ser>
        <c:dLbls>
          <c:showLegendKey val="0"/>
          <c:showVal val="1"/>
          <c:showCatName val="0"/>
          <c:showSerName val="0"/>
          <c:showPercent val="0"/>
          <c:showBubbleSize val="0"/>
        </c:dLbls>
        <c:gapWidth val="150"/>
        <c:overlap val="-25"/>
        <c:axId val="307570264"/>
        <c:axId val="307570656"/>
      </c:barChart>
      <c:catAx>
        <c:axId val="307570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307570656"/>
        <c:crosses val="autoZero"/>
        <c:auto val="1"/>
        <c:lblAlgn val="ctr"/>
        <c:lblOffset val="100"/>
        <c:noMultiLvlLbl val="0"/>
      </c:catAx>
      <c:valAx>
        <c:axId val="307570656"/>
        <c:scaling>
          <c:orientation val="minMax"/>
        </c:scaling>
        <c:delete val="1"/>
        <c:axPos val="b"/>
        <c:numFmt formatCode="General" sourceLinked="1"/>
        <c:majorTickMark val="none"/>
        <c:minorTickMark val="none"/>
        <c:tickLblPos val="nextTo"/>
        <c:crossAx val="307570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CO"/>
              <a:t>Índice de protección a inversionistas </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CO"/>
        </a:p>
      </c:txPr>
    </c:title>
    <c:autoTitleDeleted val="0"/>
    <c:plotArea>
      <c:layout/>
      <c:barChart>
        <c:barDir val="bar"/>
        <c:grouping val="clustered"/>
        <c:varyColors val="0"/>
        <c:ser>
          <c:idx val="0"/>
          <c:order val="0"/>
          <c:spPr>
            <a:solidFill>
              <a:srgbClr val="002060"/>
            </a:solidFill>
            <a:ln>
              <a:noFill/>
            </a:ln>
            <a:effectLst/>
          </c:spPr>
          <c:invertIfNegative val="0"/>
          <c:dPt>
            <c:idx val="4"/>
            <c:invertIfNegative val="0"/>
            <c:bubble3D val="0"/>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1-1A47-4AA0-8DAB-3A5369ED567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'[Calidad Aeropuertos (1).xlsx]protección a inversionistas'!$B$2:$B$6</c:f>
              <c:strCache>
                <c:ptCount val="5"/>
                <c:pt idx="0">
                  <c:v>Ciudad de México</c:v>
                </c:pt>
                <c:pt idx="1">
                  <c:v>Buenos Aires</c:v>
                </c:pt>
                <c:pt idx="2">
                  <c:v>Santiago de Chile</c:v>
                </c:pt>
                <c:pt idx="3">
                  <c:v>Sao Paulo</c:v>
                </c:pt>
                <c:pt idx="4">
                  <c:v>Bogotá</c:v>
                </c:pt>
              </c:strCache>
            </c:strRef>
          </c:cat>
          <c:val>
            <c:numRef>
              <c:f>'[Calidad Aeropuertos (1).xlsx]protección a inversionistas'!$C$2:$C$6</c:f>
              <c:numCache>
                <c:formatCode>General</c:formatCode>
                <c:ptCount val="5"/>
                <c:pt idx="0">
                  <c:v>58</c:v>
                </c:pt>
                <c:pt idx="1">
                  <c:v>51</c:v>
                </c:pt>
                <c:pt idx="2">
                  <c:v>35</c:v>
                </c:pt>
                <c:pt idx="3">
                  <c:v>34</c:v>
                </c:pt>
                <c:pt idx="4" formatCode="0">
                  <c:v>14</c:v>
                </c:pt>
              </c:numCache>
            </c:numRef>
          </c:val>
          <c:extLst xmlns:c16r2="http://schemas.microsoft.com/office/drawing/2015/06/chart">
            <c:ext xmlns:c16="http://schemas.microsoft.com/office/drawing/2014/chart" uri="{C3380CC4-5D6E-409C-BE32-E72D297353CC}">
              <c16:uniqueId val="{00000002-1A47-4AA0-8DAB-3A5369ED567A}"/>
            </c:ext>
          </c:extLst>
        </c:ser>
        <c:dLbls>
          <c:showLegendKey val="0"/>
          <c:showVal val="1"/>
          <c:showCatName val="0"/>
          <c:showSerName val="0"/>
          <c:showPercent val="0"/>
          <c:showBubbleSize val="0"/>
        </c:dLbls>
        <c:gapWidth val="150"/>
        <c:overlap val="-25"/>
        <c:axId val="307571440"/>
        <c:axId val="313986944"/>
      </c:barChart>
      <c:catAx>
        <c:axId val="307571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313986944"/>
        <c:crosses val="autoZero"/>
        <c:auto val="1"/>
        <c:lblAlgn val="ctr"/>
        <c:lblOffset val="100"/>
        <c:noMultiLvlLbl val="0"/>
      </c:catAx>
      <c:valAx>
        <c:axId val="313986944"/>
        <c:scaling>
          <c:orientation val="minMax"/>
        </c:scaling>
        <c:delete val="1"/>
        <c:axPos val="b"/>
        <c:numFmt formatCode="General" sourceLinked="1"/>
        <c:majorTickMark val="none"/>
        <c:minorTickMark val="none"/>
        <c:tickLblPos val="nextTo"/>
        <c:crossAx val="30757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JF2c7UQh/bvar1FcpRuuQmM+kA==">AMUW2mWiyJOjBuP4CtbpEg9yQfxnATu3EU7Yj2UP/LTudm3GInjFKUtDj9WhLmnGV+ffJ2mMmpdeyu4N9HBs2PTczHR3wlmVw96AKHyj/CAMVbcV7wQ9CF+3qzmwMc0vz6dUsliYQmFNGHTBY7l5ls8qG53+37GrVFJO7kEGcSkAqyoHkcs28+huffccu3PjrU6haqn0Of24CjZSD7IZCj+RWX/68+KOxR9QAc/3Vw1XgI4uysUOYvTH5yb2jhbVe9+qmiQKhMavSZPz2PF18hgHRP1O6FWQ1akyOTgH2Mw7Q2kYVI6jgZkS9mzLrP5VuUTOqFDZTnGKPj0glPsStA7A50X0Ny3FJQmQe3p8ZSsQDj/1/d1YesRjxGy9gvpgrW+R1ghto1NOW8gmKe7S6bEqJT4fQ7QXHZntVenqkW6EKqaDuQDzeanBKYXMV1m9ejYW0YIoRwS+Zd6DxZVe/zgDxfiEAtHn4hzJO7m6n0l1TzA11qZKI+ENOPVLpa6sJnkDwNtVPO+h3uCiXrS1SGvMljp66G5yICzfT5NcAAjJIbitKN3+Xg6KJs3JJhJbU46E0d4HhSkle1mWTeEd/iSv5/9zjBCtJExXOcSuYRq+5c3H1opVyZ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Cám18</b:Tag>
    <b:SourceType>JournalArticle</b:SourceType>
    <b:Guid>{A9676E02-E1A9-4CDD-AB39-C486BD033DEB}</b:Guid>
    <b:Author>
      <b:Author>
        <b:Corporate>Cámara de Comercio de Bogotá</b:Corporate>
      </b:Author>
    </b:Author>
    <b:Title>Balance de la economía de la región Bogotá- Cundinamarca. </b:Title>
    <b:Year>2018</b:Year>
    <b:RefOrder>3</b:RefOrder>
  </b:Source>
  <b:Source>
    <b:Tag>IDB18</b:Tag>
    <b:SourceType>InternetSite</b:SourceType>
    <b:Guid>{238C4579-8433-45D7-949B-1ECA9F466470}</b:Guid>
    <b:Title>A rapid Transit System That Boosts Productivity</b:Title>
    <b:Year>2018</b:Year>
    <b:Author>
      <b:Author>
        <b:Corporate>IDB</b:Corporate>
      </b:Author>
    </b:Author>
    <b:Month>septiembre </b:Month>
    <b:Day>21 </b:Day>
    <b:URL>https://blogs.iadb.org/ideas-matter/en/a-rapid-transit-system-that-boosts-productivity/</b:URL>
    <b:RefOrder>4</b:RefOrder>
  </b:Source>
  <b:Source>
    <b:Tag>Fon19</b:Tag>
    <b:SourceType>Report</b:SourceType>
    <b:Guid>{B38FA7E5-633C-4B54-8B71-129116BDE7B2}</b:Guid>
    <b:Title>INFORMES DE PERSPECTIVAS DE LA ECONOMÍA MUNDIAL</b:Title>
    <b:Year>2019</b:Year>
    <b:Author>
      <b:Author>
        <b:Corporate>Fondo Monetario Internacional </b:Corporate>
      </b:Author>
    </b:Author>
    <b:Institution>Fondo Monetario Internacional </b:Institution>
    <b:ThesisType>Financiero </b:ThesisType>
    <b:YearAccessed>2019</b:YearAccessed>
    <b:URL>https://www.imf.org/es/Publications/WEO/Issues/2019/10/01/world-economic-outlook-october-2019</b:URL>
    <b:RefOrder>1</b:RefOrder>
  </b:Source>
  <b:Source>
    <b:Tag>Med19</b:Tag>
    <b:SourceType>Report</b:SourceType>
    <b:Guid>{BFFD0051-6A00-4535-82E9-2EF529DCD783}</b:Guid>
    <b:Title>Medición de empleo informal y seguridad social Trimestre móvil junio - agosto 2019</b:Title>
    <b:Year>2019</b:Year>
    <b:Publisher>Boletín Técnico Gran Encuesta Integrada de Hogares (GEIH)</b:Publisher>
    <b:City>Bogotá</b:City>
    <b:Institution>DANE (Departamento Administrativo Nacional de Estadística )</b:Institution>
    <b:Pages>1-14</b:Pages>
    <b:ThesisType>Técnico</b:ThesisType>
    <b:URL>https://www.dane.gov.co/files/investigaciones/boletines/ech/ech_informalidad/bol_ech_informalidad_jun19_ago19.pdf</b:URL>
    <b:Author>
      <b:Author>
        <b:Corporate>DANE</b:Corporate>
      </b:Author>
    </b:Author>
    <b:RefOrder>2</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99FC64-3F6E-429E-A54B-C1C6DE335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6362</Words>
  <Characters>34991</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Manuela Gómez Saiz y Sebastián Moreno Chaves</dc:creator>
  <cp:lastModifiedBy>Ruben Dario Castro Caceres</cp:lastModifiedBy>
  <cp:revision>4</cp:revision>
  <cp:lastPrinted>2019-12-03T19:42:00Z</cp:lastPrinted>
  <dcterms:created xsi:type="dcterms:W3CDTF">2019-12-03T20:08:00Z</dcterms:created>
  <dcterms:modified xsi:type="dcterms:W3CDTF">2019-12-04T17:37:00Z</dcterms:modified>
</cp:coreProperties>
</file>