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B75F21" w:rsidRPr="00075CC6">
        <w:rPr>
          <w:sz w:val="20"/>
          <w:szCs w:val="20"/>
          <w:lang w:val="es-CO"/>
        </w:rPr>
        <w:t>1</w:t>
      </w:r>
      <w:r w:rsidR="006D5DB6">
        <w:rPr>
          <w:sz w:val="20"/>
          <w:szCs w:val="20"/>
          <w:lang w:val="es-CO"/>
        </w:rPr>
        <w:t>7</w:t>
      </w:r>
      <w:r w:rsidR="00FD34B5" w:rsidRPr="00075CC6">
        <w:rPr>
          <w:sz w:val="20"/>
          <w:szCs w:val="20"/>
          <w:lang w:val="es-CO"/>
        </w:rPr>
        <w:t xml:space="preserve"> DE 2019</w:t>
      </w:r>
      <w:r w:rsidRPr="00075CC6">
        <w:rPr>
          <w:sz w:val="20"/>
          <w:szCs w:val="20"/>
          <w:lang w:val="es-CO"/>
        </w:rPr>
        <w:t xml:space="preserve"> PARA </w:t>
      </w:r>
      <w:r w:rsidR="006D5DB6">
        <w:rPr>
          <w:sz w:val="20"/>
          <w:szCs w:val="20"/>
          <w:lang w:val="es-CO"/>
        </w:rPr>
        <w:t xml:space="preserve">MEJORAR EL MANEJO DE UNIDADES DE NEGOCIO Y/O EMPRESAS </w:t>
      </w:r>
      <w:r w:rsidRPr="00075CC6">
        <w:rPr>
          <w:sz w:val="20"/>
          <w:szCs w:val="20"/>
          <w:lang w:val="es-CO"/>
        </w:rPr>
        <w:t xml:space="preserve">A TRAVÉS </w:t>
      </w:r>
      <w:r w:rsidR="006D5DB6">
        <w:rPr>
          <w:sz w:val="20"/>
          <w:szCs w:val="20"/>
          <w:lang w:val="es-CO"/>
        </w:rPr>
        <w:t>DE</w:t>
      </w:r>
      <w:r w:rsidR="00CF3DE4">
        <w:rPr>
          <w:sz w:val="20"/>
          <w:szCs w:val="20"/>
          <w:lang w:val="es-CO"/>
        </w:rPr>
        <w:t xml:space="preserve"> </w:t>
      </w:r>
      <w:r w:rsidR="006D5DB6">
        <w:rPr>
          <w:sz w:val="20"/>
          <w:szCs w:val="20"/>
          <w:lang w:val="es-CO"/>
        </w:rPr>
        <w:t xml:space="preserve">TALLERES DE EDUCACIÓN FINANCIERA QUE FORTALEZCAN LAS COMPETENCIAS EMPRESARIOS </w:t>
      </w:r>
      <w:r w:rsidRPr="00075CC6">
        <w:rPr>
          <w:sz w:val="20"/>
          <w:szCs w:val="20"/>
          <w:lang w:val="es-CO"/>
        </w:rPr>
        <w:t>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8750AC" w:rsidRPr="00075CC6">
        <w:rPr>
          <w:b/>
          <w:bCs/>
          <w:sz w:val="20"/>
          <w:szCs w:val="20"/>
          <w:lang w:val="es-CO"/>
        </w:rPr>
        <w:t xml:space="preserve">1 </w:t>
      </w:r>
      <w:r w:rsidR="00837F8D" w:rsidRPr="00075CC6">
        <w:rPr>
          <w:b/>
          <w:bCs/>
          <w:sz w:val="20"/>
          <w:szCs w:val="20"/>
          <w:lang w:val="es-CO"/>
        </w:rPr>
        <w:t xml:space="preserve">DE </w:t>
      </w:r>
      <w:r w:rsidR="00250270">
        <w:rPr>
          <w:b/>
          <w:bCs/>
          <w:sz w:val="20"/>
          <w:szCs w:val="20"/>
          <w:lang w:val="es-CO"/>
        </w:rPr>
        <w:t>ABRIL</w:t>
      </w:r>
      <w:r w:rsidR="008750AC" w:rsidRPr="00075CC6">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rsidP="00C667AD">
          <w:pPr>
            <w:pStyle w:val="TtulodeTDC"/>
            <w:numPr>
              <w:ilvl w:val="0"/>
              <w:numId w:val="0"/>
            </w:numPr>
            <w:ind w:left="432"/>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D44DD6"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750433" w:history="1">
            <w:r w:rsidR="00D44DD6" w:rsidRPr="001E7127">
              <w:rPr>
                <w:rStyle w:val="Hipervnculo"/>
                <w:rFonts w:cs="Symbol"/>
                <w:b/>
                <w:noProof/>
              </w:rPr>
              <w:t>MARCO GENERAL</w:t>
            </w:r>
            <w:r w:rsidR="00D44DD6">
              <w:rPr>
                <w:noProof/>
                <w:webHidden/>
              </w:rPr>
              <w:tab/>
            </w:r>
            <w:r w:rsidR="00D44DD6">
              <w:rPr>
                <w:noProof/>
                <w:webHidden/>
              </w:rPr>
              <w:fldChar w:fldCharType="begin"/>
            </w:r>
            <w:r w:rsidR="00D44DD6">
              <w:rPr>
                <w:noProof/>
                <w:webHidden/>
              </w:rPr>
              <w:instrText xml:space="preserve"> PAGEREF _Toc4750433 \h </w:instrText>
            </w:r>
            <w:r w:rsidR="00D44DD6">
              <w:rPr>
                <w:noProof/>
                <w:webHidden/>
              </w:rPr>
            </w:r>
            <w:r w:rsidR="00D44DD6">
              <w:rPr>
                <w:noProof/>
                <w:webHidden/>
              </w:rPr>
              <w:fldChar w:fldCharType="separate"/>
            </w:r>
            <w:r w:rsidR="00D44DD6">
              <w:rPr>
                <w:noProof/>
                <w:webHidden/>
              </w:rPr>
              <w:t>4</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4" w:history="1">
            <w:r w:rsidR="00D44DD6" w:rsidRPr="001E7127">
              <w:rPr>
                <w:rStyle w:val="Hipervnculo"/>
                <w:i/>
                <w:noProof/>
              </w:rPr>
              <w:t>1.</w:t>
            </w:r>
            <w:r w:rsidR="00D44DD6">
              <w:rPr>
                <w:rFonts w:cstheme="minorBidi"/>
                <w:noProof/>
              </w:rPr>
              <w:tab/>
            </w:r>
            <w:r w:rsidR="00D44DD6" w:rsidRPr="001E7127">
              <w:rPr>
                <w:rStyle w:val="Hipervnculo"/>
                <w:i/>
                <w:noProof/>
              </w:rPr>
              <w:t>OBJETO DE LA CONVOCATORIA</w:t>
            </w:r>
            <w:r w:rsidR="00D44DD6">
              <w:rPr>
                <w:noProof/>
                <w:webHidden/>
              </w:rPr>
              <w:tab/>
            </w:r>
            <w:r w:rsidR="00D44DD6">
              <w:rPr>
                <w:noProof/>
                <w:webHidden/>
              </w:rPr>
              <w:fldChar w:fldCharType="begin"/>
            </w:r>
            <w:r w:rsidR="00D44DD6">
              <w:rPr>
                <w:noProof/>
                <w:webHidden/>
              </w:rPr>
              <w:instrText xml:space="preserve"> PAGEREF _Toc4750434 \h </w:instrText>
            </w:r>
            <w:r w:rsidR="00D44DD6">
              <w:rPr>
                <w:noProof/>
                <w:webHidden/>
              </w:rPr>
            </w:r>
            <w:r w:rsidR="00D44DD6">
              <w:rPr>
                <w:noProof/>
                <w:webHidden/>
              </w:rPr>
              <w:fldChar w:fldCharType="separate"/>
            </w:r>
            <w:r w:rsidR="00D44DD6">
              <w:rPr>
                <w:noProof/>
                <w:webHidden/>
              </w:rPr>
              <w:t>6</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5" w:history="1">
            <w:r w:rsidR="00D44DD6" w:rsidRPr="001E7127">
              <w:rPr>
                <w:rStyle w:val="Hipervnculo"/>
                <w:i/>
                <w:noProof/>
              </w:rPr>
              <w:t>2.</w:t>
            </w:r>
            <w:r w:rsidR="00D44DD6">
              <w:rPr>
                <w:rFonts w:cstheme="minorBidi"/>
                <w:noProof/>
              </w:rPr>
              <w:tab/>
            </w:r>
            <w:r w:rsidR="00D44DD6" w:rsidRPr="001E7127">
              <w:rPr>
                <w:rStyle w:val="Hipervnculo"/>
                <w:i/>
                <w:noProof/>
              </w:rPr>
              <w:t>FUNDAMENTOS JURÍDICOS</w:t>
            </w:r>
            <w:r w:rsidR="00D44DD6">
              <w:rPr>
                <w:noProof/>
                <w:webHidden/>
              </w:rPr>
              <w:tab/>
            </w:r>
            <w:r w:rsidR="00D44DD6">
              <w:rPr>
                <w:noProof/>
                <w:webHidden/>
              </w:rPr>
              <w:fldChar w:fldCharType="begin"/>
            </w:r>
            <w:r w:rsidR="00D44DD6">
              <w:rPr>
                <w:noProof/>
                <w:webHidden/>
              </w:rPr>
              <w:instrText xml:space="preserve"> PAGEREF _Toc4750435 \h </w:instrText>
            </w:r>
            <w:r w:rsidR="00D44DD6">
              <w:rPr>
                <w:noProof/>
                <w:webHidden/>
              </w:rPr>
            </w:r>
            <w:r w:rsidR="00D44DD6">
              <w:rPr>
                <w:noProof/>
                <w:webHidden/>
              </w:rPr>
              <w:fldChar w:fldCharType="separate"/>
            </w:r>
            <w:r w:rsidR="00D44DD6">
              <w:rPr>
                <w:noProof/>
                <w:webHidden/>
              </w:rPr>
              <w:t>6</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6" w:history="1">
            <w:r w:rsidR="00D44DD6" w:rsidRPr="001E7127">
              <w:rPr>
                <w:rStyle w:val="Hipervnculo"/>
                <w:i/>
                <w:noProof/>
              </w:rPr>
              <w:t>3.</w:t>
            </w:r>
            <w:r w:rsidR="00D44DD6">
              <w:rPr>
                <w:rFonts w:cstheme="minorBidi"/>
                <w:noProof/>
              </w:rPr>
              <w:tab/>
            </w:r>
            <w:r w:rsidR="00D44DD6" w:rsidRPr="001E7127">
              <w:rPr>
                <w:rStyle w:val="Hipervnculo"/>
                <w:i/>
                <w:noProof/>
              </w:rPr>
              <w:t>COBERTURA GEOGRÁFICA</w:t>
            </w:r>
            <w:r w:rsidR="00D44DD6">
              <w:rPr>
                <w:noProof/>
                <w:webHidden/>
              </w:rPr>
              <w:tab/>
            </w:r>
            <w:r w:rsidR="00D44DD6">
              <w:rPr>
                <w:noProof/>
                <w:webHidden/>
              </w:rPr>
              <w:fldChar w:fldCharType="begin"/>
            </w:r>
            <w:r w:rsidR="00D44DD6">
              <w:rPr>
                <w:noProof/>
                <w:webHidden/>
              </w:rPr>
              <w:instrText xml:space="preserve"> PAGEREF _Toc4750436 \h </w:instrText>
            </w:r>
            <w:r w:rsidR="00D44DD6">
              <w:rPr>
                <w:noProof/>
                <w:webHidden/>
              </w:rPr>
            </w:r>
            <w:r w:rsidR="00D44DD6">
              <w:rPr>
                <w:noProof/>
                <w:webHidden/>
              </w:rPr>
              <w:fldChar w:fldCharType="separate"/>
            </w:r>
            <w:r w:rsidR="00D44DD6">
              <w:rPr>
                <w:noProof/>
                <w:webHidden/>
              </w:rPr>
              <w:t>6</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7" w:history="1">
            <w:r w:rsidR="00D44DD6" w:rsidRPr="001E7127">
              <w:rPr>
                <w:rStyle w:val="Hipervnculo"/>
                <w:i/>
                <w:noProof/>
              </w:rPr>
              <w:t>4.</w:t>
            </w:r>
            <w:r w:rsidR="00D44DD6">
              <w:rPr>
                <w:rFonts w:cstheme="minorBidi"/>
                <w:noProof/>
              </w:rPr>
              <w:tab/>
            </w:r>
            <w:r w:rsidR="00D44DD6" w:rsidRPr="001E7127">
              <w:rPr>
                <w:rStyle w:val="Hipervnculo"/>
                <w:i/>
                <w:noProof/>
              </w:rPr>
              <w:t>POBLACIÓN OBJETIVO</w:t>
            </w:r>
            <w:r w:rsidR="00D44DD6">
              <w:rPr>
                <w:noProof/>
                <w:webHidden/>
              </w:rPr>
              <w:tab/>
            </w:r>
            <w:r w:rsidR="00D44DD6">
              <w:rPr>
                <w:noProof/>
                <w:webHidden/>
              </w:rPr>
              <w:fldChar w:fldCharType="begin"/>
            </w:r>
            <w:r w:rsidR="00D44DD6">
              <w:rPr>
                <w:noProof/>
                <w:webHidden/>
              </w:rPr>
              <w:instrText xml:space="preserve"> PAGEREF _Toc4750437 \h </w:instrText>
            </w:r>
            <w:r w:rsidR="00D44DD6">
              <w:rPr>
                <w:noProof/>
                <w:webHidden/>
              </w:rPr>
            </w:r>
            <w:r w:rsidR="00D44DD6">
              <w:rPr>
                <w:noProof/>
                <w:webHidden/>
              </w:rPr>
              <w:fldChar w:fldCharType="separate"/>
            </w:r>
            <w:r w:rsidR="00D44DD6">
              <w:rPr>
                <w:noProof/>
                <w:webHidden/>
              </w:rPr>
              <w:t>6</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8" w:history="1">
            <w:r w:rsidR="00D44DD6" w:rsidRPr="001E7127">
              <w:rPr>
                <w:rStyle w:val="Hipervnculo"/>
                <w:i/>
                <w:noProof/>
              </w:rPr>
              <w:t>5.</w:t>
            </w:r>
            <w:r w:rsidR="00D44DD6">
              <w:rPr>
                <w:rFonts w:cstheme="minorBidi"/>
                <w:noProof/>
              </w:rPr>
              <w:tab/>
            </w:r>
            <w:r w:rsidR="00D44DD6" w:rsidRPr="001E7127">
              <w:rPr>
                <w:rStyle w:val="Hipervnculo"/>
                <w:i/>
                <w:noProof/>
              </w:rPr>
              <w:t>TALLERES SEMANALES</w:t>
            </w:r>
            <w:r w:rsidR="00D44DD6">
              <w:rPr>
                <w:noProof/>
                <w:webHidden/>
              </w:rPr>
              <w:tab/>
            </w:r>
            <w:r w:rsidR="00D44DD6">
              <w:rPr>
                <w:noProof/>
                <w:webHidden/>
              </w:rPr>
              <w:fldChar w:fldCharType="begin"/>
            </w:r>
            <w:r w:rsidR="00D44DD6">
              <w:rPr>
                <w:noProof/>
                <w:webHidden/>
              </w:rPr>
              <w:instrText xml:space="preserve"> PAGEREF _Toc4750438 \h </w:instrText>
            </w:r>
            <w:r w:rsidR="00D44DD6">
              <w:rPr>
                <w:noProof/>
                <w:webHidden/>
              </w:rPr>
            </w:r>
            <w:r w:rsidR="00D44DD6">
              <w:rPr>
                <w:noProof/>
                <w:webHidden/>
              </w:rPr>
              <w:fldChar w:fldCharType="separate"/>
            </w:r>
            <w:r w:rsidR="00D44DD6">
              <w:rPr>
                <w:noProof/>
                <w:webHidden/>
              </w:rPr>
              <w:t>7</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39" w:history="1">
            <w:r w:rsidR="00D44DD6" w:rsidRPr="001E7127">
              <w:rPr>
                <w:rStyle w:val="Hipervnculo"/>
                <w:i/>
                <w:noProof/>
              </w:rPr>
              <w:t>6.</w:t>
            </w:r>
            <w:r w:rsidR="00D44DD6">
              <w:rPr>
                <w:rFonts w:cstheme="minorBidi"/>
                <w:noProof/>
              </w:rPr>
              <w:tab/>
            </w:r>
            <w:r w:rsidR="00D44DD6" w:rsidRPr="001E7127">
              <w:rPr>
                <w:rStyle w:val="Hipervnculo"/>
                <w:i/>
                <w:noProof/>
              </w:rPr>
              <w:t>CAPACITACIONES GRUPALES</w:t>
            </w:r>
            <w:r w:rsidR="00D44DD6">
              <w:rPr>
                <w:noProof/>
                <w:webHidden/>
              </w:rPr>
              <w:tab/>
            </w:r>
            <w:r w:rsidR="00D44DD6">
              <w:rPr>
                <w:noProof/>
                <w:webHidden/>
              </w:rPr>
              <w:fldChar w:fldCharType="begin"/>
            </w:r>
            <w:r w:rsidR="00D44DD6">
              <w:rPr>
                <w:noProof/>
                <w:webHidden/>
              </w:rPr>
              <w:instrText xml:space="preserve"> PAGEREF _Toc4750439 \h </w:instrText>
            </w:r>
            <w:r w:rsidR="00D44DD6">
              <w:rPr>
                <w:noProof/>
                <w:webHidden/>
              </w:rPr>
            </w:r>
            <w:r w:rsidR="00D44DD6">
              <w:rPr>
                <w:noProof/>
                <w:webHidden/>
              </w:rPr>
              <w:fldChar w:fldCharType="separate"/>
            </w:r>
            <w:r w:rsidR="00D44DD6">
              <w:rPr>
                <w:noProof/>
                <w:webHidden/>
              </w:rPr>
              <w:t>7</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40" w:history="1">
            <w:r w:rsidR="00D44DD6" w:rsidRPr="001E7127">
              <w:rPr>
                <w:rStyle w:val="Hipervnculo"/>
                <w:i/>
                <w:noProof/>
              </w:rPr>
              <w:t>7.</w:t>
            </w:r>
            <w:r w:rsidR="00D44DD6">
              <w:rPr>
                <w:rFonts w:cstheme="minorBidi"/>
                <w:noProof/>
              </w:rPr>
              <w:tab/>
            </w:r>
            <w:r w:rsidR="00D44DD6" w:rsidRPr="001E7127">
              <w:rPr>
                <w:rStyle w:val="Hipervnculo"/>
                <w:i/>
                <w:noProof/>
              </w:rPr>
              <w:t>RUTA DE EMPRENDIMIENTO</w:t>
            </w:r>
            <w:r w:rsidR="00D44DD6">
              <w:rPr>
                <w:noProof/>
                <w:webHidden/>
              </w:rPr>
              <w:tab/>
            </w:r>
            <w:r w:rsidR="00D44DD6">
              <w:rPr>
                <w:noProof/>
                <w:webHidden/>
              </w:rPr>
              <w:fldChar w:fldCharType="begin"/>
            </w:r>
            <w:r w:rsidR="00D44DD6">
              <w:rPr>
                <w:noProof/>
                <w:webHidden/>
              </w:rPr>
              <w:instrText xml:space="preserve"> PAGEREF _Toc4750440 \h </w:instrText>
            </w:r>
            <w:r w:rsidR="00D44DD6">
              <w:rPr>
                <w:noProof/>
                <w:webHidden/>
              </w:rPr>
            </w:r>
            <w:r w:rsidR="00D44DD6">
              <w:rPr>
                <w:noProof/>
                <w:webHidden/>
              </w:rPr>
              <w:fldChar w:fldCharType="separate"/>
            </w:r>
            <w:r w:rsidR="00D44DD6">
              <w:rPr>
                <w:noProof/>
                <w:webHidden/>
              </w:rPr>
              <w:t>7</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41" w:history="1">
            <w:r w:rsidR="00D44DD6" w:rsidRPr="001E7127">
              <w:rPr>
                <w:rStyle w:val="Hipervnculo"/>
                <w:i/>
                <w:noProof/>
              </w:rPr>
              <w:t>8.</w:t>
            </w:r>
            <w:r w:rsidR="00D44DD6">
              <w:rPr>
                <w:rFonts w:cstheme="minorBidi"/>
                <w:noProof/>
              </w:rPr>
              <w:tab/>
            </w:r>
            <w:r w:rsidR="00D44DD6" w:rsidRPr="001E7127">
              <w:rPr>
                <w:rStyle w:val="Hipervnculo"/>
                <w:i/>
                <w:noProof/>
              </w:rPr>
              <w:t>APOYOS INTERINSTITUCIONALES</w:t>
            </w:r>
            <w:r w:rsidR="00D44DD6">
              <w:rPr>
                <w:noProof/>
                <w:webHidden/>
              </w:rPr>
              <w:tab/>
            </w:r>
            <w:r w:rsidR="00D44DD6">
              <w:rPr>
                <w:noProof/>
                <w:webHidden/>
              </w:rPr>
              <w:fldChar w:fldCharType="begin"/>
            </w:r>
            <w:r w:rsidR="00D44DD6">
              <w:rPr>
                <w:noProof/>
                <w:webHidden/>
              </w:rPr>
              <w:instrText xml:space="preserve"> PAGEREF _Toc4750441 \h </w:instrText>
            </w:r>
            <w:r w:rsidR="00D44DD6">
              <w:rPr>
                <w:noProof/>
                <w:webHidden/>
              </w:rPr>
            </w:r>
            <w:r w:rsidR="00D44DD6">
              <w:rPr>
                <w:noProof/>
                <w:webHidden/>
              </w:rPr>
              <w:fldChar w:fldCharType="separate"/>
            </w:r>
            <w:r w:rsidR="00D44DD6">
              <w:rPr>
                <w:noProof/>
                <w:webHidden/>
              </w:rPr>
              <w:t>7</w:t>
            </w:r>
            <w:r w:rsidR="00D44DD6">
              <w:rPr>
                <w:noProof/>
                <w:webHidden/>
              </w:rPr>
              <w:fldChar w:fldCharType="end"/>
            </w:r>
          </w:hyperlink>
        </w:p>
        <w:p w:rsidR="00D44DD6" w:rsidRDefault="0017723D">
          <w:pPr>
            <w:pStyle w:val="TDC2"/>
            <w:tabs>
              <w:tab w:val="left" w:pos="660"/>
              <w:tab w:val="right" w:leader="dot" w:pos="9062"/>
            </w:tabs>
            <w:rPr>
              <w:rFonts w:cstheme="minorBidi"/>
              <w:noProof/>
            </w:rPr>
          </w:pPr>
          <w:hyperlink w:anchor="_Toc4750442" w:history="1">
            <w:r w:rsidR="00D44DD6" w:rsidRPr="001E7127">
              <w:rPr>
                <w:rStyle w:val="Hipervnculo"/>
                <w:i/>
                <w:noProof/>
              </w:rPr>
              <w:t>9.</w:t>
            </w:r>
            <w:r w:rsidR="00D44DD6">
              <w:rPr>
                <w:rFonts w:cstheme="minorBidi"/>
                <w:noProof/>
              </w:rPr>
              <w:tab/>
            </w:r>
            <w:r w:rsidR="00D44DD6" w:rsidRPr="001E7127">
              <w:rPr>
                <w:rStyle w:val="Hipervnculo"/>
                <w:i/>
                <w:noProof/>
              </w:rPr>
              <w:t>DIVULGACIÓN DE LAS CONDICIONES</w:t>
            </w:r>
            <w:r w:rsidR="00D44DD6">
              <w:rPr>
                <w:noProof/>
                <w:webHidden/>
              </w:rPr>
              <w:tab/>
            </w:r>
            <w:r w:rsidR="00D44DD6">
              <w:rPr>
                <w:noProof/>
                <w:webHidden/>
              </w:rPr>
              <w:fldChar w:fldCharType="begin"/>
            </w:r>
            <w:r w:rsidR="00D44DD6">
              <w:rPr>
                <w:noProof/>
                <w:webHidden/>
              </w:rPr>
              <w:instrText xml:space="preserve"> PAGEREF _Toc4750442 \h </w:instrText>
            </w:r>
            <w:r w:rsidR="00D44DD6">
              <w:rPr>
                <w:noProof/>
                <w:webHidden/>
              </w:rPr>
            </w:r>
            <w:r w:rsidR="00D44DD6">
              <w:rPr>
                <w:noProof/>
                <w:webHidden/>
              </w:rPr>
              <w:fldChar w:fldCharType="separate"/>
            </w:r>
            <w:r w:rsidR="00D44DD6">
              <w:rPr>
                <w:noProof/>
                <w:webHidden/>
              </w:rPr>
              <w:t>7</w:t>
            </w:r>
            <w:r w:rsidR="00D44DD6">
              <w:rPr>
                <w:noProof/>
                <w:webHidden/>
              </w:rPr>
              <w:fldChar w:fldCharType="end"/>
            </w:r>
          </w:hyperlink>
        </w:p>
        <w:p w:rsidR="00D44DD6" w:rsidRDefault="0017723D">
          <w:pPr>
            <w:pStyle w:val="TDC2"/>
            <w:tabs>
              <w:tab w:val="left" w:pos="880"/>
              <w:tab w:val="right" w:leader="dot" w:pos="9062"/>
            </w:tabs>
            <w:rPr>
              <w:rFonts w:cstheme="minorBidi"/>
              <w:noProof/>
            </w:rPr>
          </w:pPr>
          <w:hyperlink w:anchor="_Toc4750443" w:history="1">
            <w:r w:rsidR="00D44DD6" w:rsidRPr="001E7127">
              <w:rPr>
                <w:rStyle w:val="Hipervnculo"/>
                <w:i/>
                <w:noProof/>
              </w:rPr>
              <w:t>10.</w:t>
            </w:r>
            <w:r w:rsidR="00D44DD6">
              <w:rPr>
                <w:rFonts w:cstheme="minorBidi"/>
                <w:noProof/>
              </w:rPr>
              <w:tab/>
            </w:r>
            <w:r w:rsidR="00D44DD6" w:rsidRPr="001E7127">
              <w:rPr>
                <w:rStyle w:val="Hipervnculo"/>
                <w:i/>
                <w:noProof/>
              </w:rPr>
              <w:t>LUGAR DE INSCRIPCIÓN</w:t>
            </w:r>
            <w:r w:rsidR="00D44DD6">
              <w:rPr>
                <w:noProof/>
                <w:webHidden/>
              </w:rPr>
              <w:tab/>
            </w:r>
            <w:r w:rsidR="00D44DD6">
              <w:rPr>
                <w:noProof/>
                <w:webHidden/>
              </w:rPr>
              <w:fldChar w:fldCharType="begin"/>
            </w:r>
            <w:r w:rsidR="00D44DD6">
              <w:rPr>
                <w:noProof/>
                <w:webHidden/>
              </w:rPr>
              <w:instrText xml:space="preserve"> PAGEREF _Toc4750443 \h </w:instrText>
            </w:r>
            <w:r w:rsidR="00D44DD6">
              <w:rPr>
                <w:noProof/>
                <w:webHidden/>
              </w:rPr>
            </w:r>
            <w:r w:rsidR="00D44DD6">
              <w:rPr>
                <w:noProof/>
                <w:webHidden/>
              </w:rPr>
              <w:fldChar w:fldCharType="separate"/>
            </w:r>
            <w:r w:rsidR="00D44DD6">
              <w:rPr>
                <w:noProof/>
                <w:webHidden/>
              </w:rPr>
              <w:t>8</w:t>
            </w:r>
            <w:r w:rsidR="00D44DD6">
              <w:rPr>
                <w:noProof/>
                <w:webHidden/>
              </w:rPr>
              <w:fldChar w:fldCharType="end"/>
            </w:r>
          </w:hyperlink>
        </w:p>
        <w:p w:rsidR="00D44DD6" w:rsidRDefault="0017723D">
          <w:pPr>
            <w:pStyle w:val="TDC2"/>
            <w:tabs>
              <w:tab w:val="left" w:pos="880"/>
              <w:tab w:val="right" w:leader="dot" w:pos="9062"/>
            </w:tabs>
            <w:rPr>
              <w:rFonts w:cstheme="minorBidi"/>
              <w:noProof/>
            </w:rPr>
          </w:pPr>
          <w:hyperlink w:anchor="_Toc4750444" w:history="1">
            <w:r w:rsidR="00D44DD6" w:rsidRPr="001E7127">
              <w:rPr>
                <w:rStyle w:val="Hipervnculo"/>
                <w:i/>
                <w:noProof/>
              </w:rPr>
              <w:t>11.</w:t>
            </w:r>
            <w:r w:rsidR="00D44DD6">
              <w:rPr>
                <w:rFonts w:cstheme="minorBidi"/>
                <w:noProof/>
              </w:rPr>
              <w:tab/>
            </w:r>
            <w:r w:rsidR="00D44DD6" w:rsidRPr="001E7127">
              <w:rPr>
                <w:rStyle w:val="Hipervnculo"/>
                <w:i/>
                <w:noProof/>
              </w:rPr>
              <w:t>APERTURA DE LA CONVOCATORIA</w:t>
            </w:r>
            <w:r w:rsidR="00D44DD6">
              <w:rPr>
                <w:noProof/>
                <w:webHidden/>
              </w:rPr>
              <w:tab/>
            </w:r>
            <w:r w:rsidR="00D44DD6">
              <w:rPr>
                <w:noProof/>
                <w:webHidden/>
              </w:rPr>
              <w:fldChar w:fldCharType="begin"/>
            </w:r>
            <w:r w:rsidR="00D44DD6">
              <w:rPr>
                <w:noProof/>
                <w:webHidden/>
              </w:rPr>
              <w:instrText xml:space="preserve"> PAGEREF _Toc4750444 \h </w:instrText>
            </w:r>
            <w:r w:rsidR="00D44DD6">
              <w:rPr>
                <w:noProof/>
                <w:webHidden/>
              </w:rPr>
            </w:r>
            <w:r w:rsidR="00D44DD6">
              <w:rPr>
                <w:noProof/>
                <w:webHidden/>
              </w:rPr>
              <w:fldChar w:fldCharType="separate"/>
            </w:r>
            <w:r w:rsidR="00D44DD6">
              <w:rPr>
                <w:noProof/>
                <w:webHidden/>
              </w:rPr>
              <w:t>8</w:t>
            </w:r>
            <w:r w:rsidR="00D44DD6">
              <w:rPr>
                <w:noProof/>
                <w:webHidden/>
              </w:rPr>
              <w:fldChar w:fldCharType="end"/>
            </w:r>
          </w:hyperlink>
        </w:p>
        <w:p w:rsidR="00D44DD6" w:rsidRDefault="0017723D">
          <w:pPr>
            <w:pStyle w:val="TDC2"/>
            <w:tabs>
              <w:tab w:val="left" w:pos="880"/>
              <w:tab w:val="right" w:leader="dot" w:pos="9062"/>
            </w:tabs>
            <w:rPr>
              <w:rFonts w:cstheme="minorBidi"/>
              <w:noProof/>
            </w:rPr>
          </w:pPr>
          <w:hyperlink w:anchor="_Toc4750445" w:history="1">
            <w:r w:rsidR="00D44DD6" w:rsidRPr="001E7127">
              <w:rPr>
                <w:rStyle w:val="Hipervnculo"/>
                <w:i/>
                <w:noProof/>
              </w:rPr>
              <w:t>12.</w:t>
            </w:r>
            <w:r w:rsidR="00D44DD6">
              <w:rPr>
                <w:rFonts w:cstheme="minorBidi"/>
                <w:noProof/>
              </w:rPr>
              <w:tab/>
            </w:r>
            <w:r w:rsidR="00D44DD6" w:rsidRPr="001E7127">
              <w:rPr>
                <w:rStyle w:val="Hipervnculo"/>
                <w:i/>
                <w:noProof/>
              </w:rPr>
              <w:t>CIERRE DE LA CONVOCATORIA</w:t>
            </w:r>
            <w:r w:rsidR="00D44DD6">
              <w:rPr>
                <w:noProof/>
                <w:webHidden/>
              </w:rPr>
              <w:tab/>
            </w:r>
            <w:r w:rsidR="00D44DD6">
              <w:rPr>
                <w:noProof/>
                <w:webHidden/>
              </w:rPr>
              <w:fldChar w:fldCharType="begin"/>
            </w:r>
            <w:r w:rsidR="00D44DD6">
              <w:rPr>
                <w:noProof/>
                <w:webHidden/>
              </w:rPr>
              <w:instrText xml:space="preserve"> PAGEREF _Toc4750445 \h </w:instrText>
            </w:r>
            <w:r w:rsidR="00D44DD6">
              <w:rPr>
                <w:noProof/>
                <w:webHidden/>
              </w:rPr>
            </w:r>
            <w:r w:rsidR="00D44DD6">
              <w:rPr>
                <w:noProof/>
                <w:webHidden/>
              </w:rPr>
              <w:fldChar w:fldCharType="separate"/>
            </w:r>
            <w:r w:rsidR="00D44DD6">
              <w:rPr>
                <w:noProof/>
                <w:webHidden/>
              </w:rPr>
              <w:t>8</w:t>
            </w:r>
            <w:r w:rsidR="00D44DD6">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5D1F58" w:rsidRDefault="00837F8D" w:rsidP="004C4511">
      <w:pPr>
        <w:pStyle w:val="Contenidodelmarco"/>
        <w:outlineLvl w:val="0"/>
        <w:rPr>
          <w:rStyle w:val="1erNivel"/>
          <w:lang w:val="es-CO"/>
        </w:rPr>
      </w:pPr>
      <w:bookmarkStart w:id="3" w:name="_Toc503882949"/>
      <w:bookmarkStart w:id="4" w:name="_Toc4750433"/>
      <w:r w:rsidRPr="005D1F58">
        <w:rPr>
          <w:rStyle w:val="1erNivel"/>
          <w:lang w:val="es-CO"/>
        </w:rPr>
        <w:lastRenderedPageBreak/>
        <w:t>MARCO GENERAL</w:t>
      </w:r>
      <w:bookmarkEnd w:id="3"/>
      <w:bookmarkEnd w:id="4"/>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37F8D">
      <w:pPr>
        <w:jc w:val="both"/>
        <w:rPr>
          <w:sz w:val="20"/>
          <w:szCs w:val="20"/>
          <w:lang w:val="es-CO"/>
        </w:rPr>
      </w:pPr>
      <w:r w:rsidRPr="00075CC6">
        <w:rPr>
          <w:sz w:val="20"/>
          <w:szCs w:val="20"/>
          <w:lang w:val="es-CO"/>
        </w:rPr>
        <w:t xml:space="preserve">El Decreto 437 de 2016, mediante el cual se “(…) determina la estructura organizacional, las funciones de la Secretaría Distrital de Desarrollo Económico, y se dictan otras disposiciones”, en concordancia con  el artículo  78,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w:t>
      </w:r>
      <w:r w:rsidRPr="00075CC6">
        <w:rPr>
          <w:sz w:val="20"/>
          <w:szCs w:val="20"/>
          <w:lang w:val="es-CO"/>
        </w:rPr>
        <w:lastRenderedPageBreak/>
        <w:t>de escala. p. Formular y orientar la política de 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CF6874" w:rsidRPr="00075CC6" w:rsidRDefault="00837F8D">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La ejecución de este programa se realizará en alianza con actores privados de acuerdo con la gestión que realice la SDDE y con ese fin, determinó como meta Plan de Desarrollo la de</w:t>
      </w:r>
      <w:r w:rsidR="00433B99" w:rsidRPr="00075CC6">
        <w:rPr>
          <w:sz w:val="20"/>
          <w:szCs w:val="20"/>
          <w:lang w:val="es-CO"/>
        </w:rPr>
        <w:t xml:space="preserve"> realizar 165 alistamientos, proceso que contiene dentro de sus componentes la educación e inclusión financiera</w:t>
      </w:r>
      <w:r w:rsidRPr="00075CC6">
        <w:rPr>
          <w:i/>
          <w:iCs/>
          <w:sz w:val="20"/>
          <w:szCs w:val="20"/>
          <w:lang w:val="es-CO"/>
        </w:rPr>
        <w:t xml:space="preserve">.  </w:t>
      </w: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75043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w:t>
      </w:r>
      <w:r w:rsidR="006D5DB6">
        <w:rPr>
          <w:sz w:val="20"/>
          <w:szCs w:val="20"/>
          <w:lang w:val="es-CO"/>
        </w:rPr>
        <w:t xml:space="preserve">las capacidades y competencias de empresarios y emprendedores </w:t>
      </w:r>
      <w:r w:rsidRPr="00075CC6">
        <w:rPr>
          <w:sz w:val="20"/>
          <w:szCs w:val="20"/>
          <w:lang w:val="es-CO"/>
        </w:rPr>
        <w:t xml:space="preserve">a través </w:t>
      </w:r>
      <w:r w:rsidR="006D5DB6">
        <w:rPr>
          <w:sz w:val="20"/>
          <w:szCs w:val="20"/>
          <w:lang w:val="es-CO"/>
        </w:rPr>
        <w:t>talleres de educación financiera sobre aspectos relacionados con el manejo financiero de unidades productivas</w:t>
      </w:r>
      <w:r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75043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DB4D64" w:rsidRPr="00075CC6" w:rsidRDefault="008750AC" w:rsidP="008750AC">
      <w:pPr>
        <w:shd w:val="clear" w:color="auto" w:fill="FFFFFF"/>
        <w:jc w:val="both"/>
        <w:rPr>
          <w:rFonts w:eastAsia="Times New Roman"/>
          <w:color w:val="000000" w:themeColor="text1"/>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hyperlink r:id="rId8" w:tgtFrame="_blank" w:tooltip="Ley 1448 de 2011" w:history="1">
        <w:r w:rsidR="00C752CF" w:rsidRPr="00075CC6">
          <w:rPr>
            <w:rStyle w:val="Hipervnculo"/>
            <w:color w:val="000000" w:themeColor="text1"/>
            <w:sz w:val="20"/>
            <w:szCs w:val="20"/>
            <w:u w:val="none"/>
            <w:lang w:val="es-CO"/>
          </w:rPr>
          <w:t>Ley 1448 de 2011</w:t>
        </w:r>
      </w:hyperlink>
      <w:r w:rsidRPr="00075CC6">
        <w:rPr>
          <w:rFonts w:eastAsia="Times New Roman"/>
          <w:color w:val="000000" w:themeColor="text1"/>
          <w:sz w:val="20"/>
          <w:szCs w:val="20"/>
          <w:lang w:val="es-CO"/>
        </w:rPr>
        <w:t xml:space="preserve"> y el </w:t>
      </w:r>
      <w:hyperlink r:id="rId9" w:tgtFrame="_blank" w:tooltip="Decreto 4800 de 2011" w:history="1">
        <w:r w:rsidR="00C752CF" w:rsidRPr="00075CC6">
          <w:rPr>
            <w:rStyle w:val="Hipervnculo"/>
            <w:color w:val="000000" w:themeColor="text1"/>
            <w:sz w:val="20"/>
            <w:szCs w:val="20"/>
            <w:u w:val="none"/>
            <w:lang w:val="es-CO"/>
          </w:rPr>
          <w:t>Decreto 4800/2011</w:t>
        </w:r>
      </w:hyperlink>
      <w:r w:rsidRPr="00075CC6">
        <w:rPr>
          <w:color w:val="000000" w:themeColor="text1"/>
          <w:sz w:val="20"/>
          <w:szCs w:val="20"/>
          <w:lang w:val="es-CO"/>
        </w:rPr>
        <w:t>.</w:t>
      </w: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10" w:name="_Toc4750436"/>
      <w:r w:rsidRPr="001C2B9F">
        <w:rPr>
          <w:rStyle w:val="2doNivel"/>
        </w:rPr>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cobertura geográfica de la convocatoria es el Distrito Capital de Bogotá toda su extensión urbana y rural, es decir, </w:t>
      </w:r>
      <w:r w:rsidR="006D5DB6">
        <w:rPr>
          <w:sz w:val="20"/>
          <w:szCs w:val="20"/>
          <w:lang w:val="es-CO"/>
        </w:rPr>
        <w:t>empresarios y emprendedores y población en general residenciadas en el Distrito Capital</w:t>
      </w:r>
      <w:r w:rsidRPr="00075CC6">
        <w:rPr>
          <w:sz w:val="20"/>
          <w:szCs w:val="20"/>
          <w:lang w:val="es-CO"/>
        </w:rPr>
        <w:t>.</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750437"/>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w:t>
      </w:r>
      <w:r w:rsidR="006D5DB6">
        <w:rPr>
          <w:sz w:val="20"/>
          <w:szCs w:val="20"/>
          <w:lang w:val="es-CO"/>
        </w:rPr>
        <w:t xml:space="preserve">a través de empleados </w:t>
      </w:r>
      <w:r w:rsidRPr="00075CC6">
        <w:rPr>
          <w:sz w:val="20"/>
          <w:szCs w:val="20"/>
          <w:lang w:val="es-CO"/>
        </w:rPr>
        <w:t xml:space="preserve">de </w:t>
      </w:r>
      <w:r w:rsidR="00433B99" w:rsidRPr="00075CC6">
        <w:rPr>
          <w:sz w:val="20"/>
          <w:szCs w:val="20"/>
          <w:lang w:val="es-CO"/>
        </w:rPr>
        <w:t>todos los sectores productivos de bienes, servicios  y de comercio</w:t>
      </w:r>
      <w:r w:rsidR="00A1460C" w:rsidRPr="00075CC6">
        <w:rPr>
          <w:sz w:val="20"/>
          <w:szCs w:val="20"/>
          <w:lang w:val="es-CO"/>
        </w:rPr>
        <w:t xml:space="preserve"> ubicadas en el Distrito Capital de Bogotá.</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lastRenderedPageBreak/>
        <w:t>Los ciudadanos que apliquen a los beneficios deberán</w:t>
      </w:r>
      <w:r w:rsidR="00463372" w:rsidRPr="00075CC6">
        <w:rPr>
          <w:sz w:val="20"/>
          <w:szCs w:val="20"/>
          <w:lang w:val="es-CO"/>
        </w:rPr>
        <w:t xml:space="preserve"> </w:t>
      </w:r>
      <w:r w:rsidR="004A282E">
        <w:rPr>
          <w:sz w:val="20"/>
          <w:szCs w:val="20"/>
          <w:lang w:val="es-CO"/>
        </w:rPr>
        <w:t>diligenciar en el sitio del taller el formato de caracterización SUIM de la Secretaría Distrital de Desarrollo Económico.</w:t>
      </w:r>
    </w:p>
    <w:p w:rsidR="00E84937" w:rsidRPr="00075CC6" w:rsidRDefault="00E84937">
      <w:pPr>
        <w:pStyle w:val="Prrafodelista"/>
        <w:tabs>
          <w:tab w:val="left" w:pos="810"/>
        </w:tabs>
        <w:ind w:firstLine="0"/>
        <w:rPr>
          <w:sz w:val="20"/>
          <w:szCs w:val="20"/>
          <w:lang w:val="es-CO"/>
        </w:rPr>
      </w:pPr>
    </w:p>
    <w:p w:rsidR="005D1F58" w:rsidRDefault="005D1F58" w:rsidP="006F6FC8">
      <w:pPr>
        <w:pStyle w:val="Encabezado1"/>
        <w:numPr>
          <w:ilvl w:val="0"/>
          <w:numId w:val="1"/>
        </w:numPr>
        <w:rPr>
          <w:rStyle w:val="2doNivel"/>
        </w:rPr>
      </w:pPr>
      <w:bookmarkStart w:id="13" w:name="_Toc4750438"/>
      <w:bookmarkStart w:id="14" w:name="_Toc503882954"/>
      <w:r>
        <w:rPr>
          <w:rStyle w:val="2doNivel"/>
        </w:rPr>
        <w:t>TALLERES SEMANALES</w:t>
      </w:r>
      <w:bookmarkEnd w:id="13"/>
    </w:p>
    <w:p w:rsidR="005D1F58" w:rsidRDefault="005D1F58" w:rsidP="005D1F58">
      <w:pPr>
        <w:pStyle w:val="Encabezado1"/>
        <w:rPr>
          <w:rStyle w:val="2doNivel"/>
        </w:rPr>
      </w:pPr>
    </w:p>
    <w:p w:rsidR="005D1F58" w:rsidRPr="00D44DD6" w:rsidRDefault="005D1F58" w:rsidP="00D44DD6">
      <w:pPr>
        <w:pStyle w:val="Cuerpodetexto"/>
        <w:jc w:val="both"/>
        <w:rPr>
          <w:rStyle w:val="2doNivel"/>
          <w:i w:val="0"/>
          <w:sz w:val="20"/>
          <w:lang w:val="es-CO"/>
        </w:rPr>
      </w:pPr>
      <w:r w:rsidRPr="00D44DD6">
        <w:rPr>
          <w:rStyle w:val="2doNivel"/>
          <w:i w:val="0"/>
          <w:sz w:val="20"/>
          <w:lang w:val="es-CO"/>
        </w:rPr>
        <w:t xml:space="preserve">Para el logro del objetivo, la Subdirección de Financiamiento e Inclusión financiera ha establecido </w:t>
      </w:r>
      <w:r w:rsidR="00D44DD6" w:rsidRPr="00D44DD6">
        <w:rPr>
          <w:rStyle w:val="2doNivel"/>
          <w:i w:val="0"/>
          <w:sz w:val="20"/>
          <w:lang w:val="es-CO"/>
        </w:rPr>
        <w:t xml:space="preserve">un programa de </w:t>
      </w:r>
      <w:r w:rsidRPr="00D44DD6">
        <w:rPr>
          <w:rStyle w:val="2doNivel"/>
          <w:i w:val="0"/>
          <w:sz w:val="20"/>
          <w:lang w:val="es-CO"/>
        </w:rPr>
        <w:t xml:space="preserve">talleres semanales que se realizan en la sede de la Secretaría Distrital de Desarrollo Económico todos los miércoles a partir de las 9:00 a.m. en el salón Kogui de la Plaza de los Artesanos ubicada en la Carrera 60 No. 63ª </w:t>
      </w:r>
      <w:r w:rsidR="00D44DD6" w:rsidRPr="00D44DD6">
        <w:rPr>
          <w:rStyle w:val="2doNivel"/>
          <w:i w:val="0"/>
          <w:sz w:val="20"/>
          <w:lang w:val="es-CO"/>
        </w:rPr>
        <w:t>–</w:t>
      </w:r>
      <w:r w:rsidRPr="00D44DD6">
        <w:rPr>
          <w:rStyle w:val="2doNivel"/>
          <w:i w:val="0"/>
          <w:sz w:val="20"/>
          <w:lang w:val="es-CO"/>
        </w:rPr>
        <w:t xml:space="preserve"> </w:t>
      </w:r>
      <w:r w:rsidR="00D44DD6" w:rsidRPr="00D44DD6">
        <w:rPr>
          <w:rStyle w:val="2doNivel"/>
          <w:i w:val="0"/>
          <w:sz w:val="20"/>
          <w:lang w:val="es-CO"/>
        </w:rPr>
        <w:t>52.</w:t>
      </w:r>
    </w:p>
    <w:p w:rsidR="00D44DD6" w:rsidRPr="00D44DD6" w:rsidRDefault="00D44DD6" w:rsidP="00D44DD6">
      <w:pPr>
        <w:pStyle w:val="Cuerpodetexto"/>
        <w:jc w:val="both"/>
        <w:rPr>
          <w:rStyle w:val="2doNivel"/>
          <w:i w:val="0"/>
          <w:sz w:val="20"/>
          <w:lang w:val="es-CO"/>
        </w:rPr>
      </w:pPr>
    </w:p>
    <w:p w:rsidR="00D44DD6" w:rsidRPr="00D44DD6" w:rsidRDefault="00D44DD6" w:rsidP="00D44DD6">
      <w:pPr>
        <w:pStyle w:val="Cuerpodetexto"/>
        <w:jc w:val="both"/>
        <w:rPr>
          <w:rStyle w:val="2doNivel"/>
          <w:i w:val="0"/>
          <w:sz w:val="20"/>
          <w:lang w:val="es-CO"/>
        </w:rPr>
      </w:pPr>
      <w:r w:rsidRPr="00D44DD6">
        <w:rPr>
          <w:rStyle w:val="2doNivel"/>
          <w:i w:val="0"/>
          <w:sz w:val="20"/>
          <w:lang w:val="es-CO"/>
        </w:rPr>
        <w:t>La duración del taller de capacitación es de 2 horas y no tienen ningún costo para el beneficiario.</w:t>
      </w:r>
    </w:p>
    <w:p w:rsidR="005D1F58" w:rsidRDefault="005D1F58" w:rsidP="00D44DD6">
      <w:pPr>
        <w:pStyle w:val="Cuerpodetexto"/>
        <w:rPr>
          <w:rStyle w:val="2doNivel"/>
          <w:lang w:val="es-CO"/>
        </w:rPr>
      </w:pPr>
    </w:p>
    <w:p w:rsidR="00D44DD6" w:rsidRDefault="00D44DD6" w:rsidP="00D44DD6">
      <w:pPr>
        <w:pStyle w:val="Encabezado1"/>
        <w:numPr>
          <w:ilvl w:val="0"/>
          <w:numId w:val="1"/>
        </w:numPr>
        <w:rPr>
          <w:rStyle w:val="2doNivel"/>
        </w:rPr>
      </w:pPr>
      <w:bookmarkStart w:id="15" w:name="_Toc4750439"/>
      <w:r>
        <w:rPr>
          <w:rStyle w:val="2doNivel"/>
        </w:rPr>
        <w:t>CAPACITACIONES GRUPALES</w:t>
      </w:r>
      <w:bookmarkEnd w:id="15"/>
    </w:p>
    <w:p w:rsidR="00D44DD6" w:rsidRPr="00C667AD" w:rsidRDefault="00D44DD6" w:rsidP="00D44DD6">
      <w:pPr>
        <w:pStyle w:val="Cuerpodetexto"/>
        <w:jc w:val="both"/>
        <w:rPr>
          <w:rStyle w:val="2doNivel"/>
          <w:i w:val="0"/>
          <w:sz w:val="20"/>
        </w:rPr>
      </w:pPr>
    </w:p>
    <w:p w:rsidR="00D44DD6" w:rsidRPr="005D1F58" w:rsidRDefault="00D44DD6" w:rsidP="00D44DD6">
      <w:pPr>
        <w:pStyle w:val="Cuerpodetexto"/>
        <w:jc w:val="both"/>
        <w:rPr>
          <w:rStyle w:val="2doNivel"/>
          <w:i w:val="0"/>
          <w:sz w:val="20"/>
          <w:lang w:val="es-CO"/>
        </w:rPr>
      </w:pPr>
      <w:r w:rsidRPr="005D1F58">
        <w:rPr>
          <w:rStyle w:val="2doNivel"/>
          <w:i w:val="0"/>
          <w:sz w:val="20"/>
          <w:lang w:val="es-CO"/>
        </w:rPr>
        <w:t>A solicitud de gremios, autoridades locales, asociaciones de empresarios, la Secretaría Distrital de Desarrollo Económico podrá programar la realización de talleres de educación financiera dirigidos a grupos específicos reajustando la temática a desarrollar según las necesidades y objetivos propuestos.</w:t>
      </w:r>
    </w:p>
    <w:p w:rsidR="00D44DD6" w:rsidRPr="005D1F58" w:rsidRDefault="00D44DD6" w:rsidP="00D44DD6">
      <w:pPr>
        <w:pStyle w:val="Cuerpodetexto"/>
        <w:rPr>
          <w:rStyle w:val="2doNivel"/>
          <w:lang w:val="es-CO"/>
        </w:rPr>
      </w:pPr>
    </w:p>
    <w:p w:rsidR="00A43069" w:rsidRPr="001C2B9F" w:rsidRDefault="00A43069" w:rsidP="00D44DD6">
      <w:pPr>
        <w:pStyle w:val="Encabezado1"/>
        <w:numPr>
          <w:ilvl w:val="0"/>
          <w:numId w:val="1"/>
        </w:numPr>
        <w:rPr>
          <w:rStyle w:val="2doNivel"/>
        </w:rPr>
      </w:pPr>
      <w:bookmarkStart w:id="16" w:name="_Toc4750440"/>
      <w:r w:rsidRPr="001C2B9F">
        <w:rPr>
          <w:rStyle w:val="2doNivel"/>
        </w:rPr>
        <w:t>RUTA DE EMPRENDIMIENTO</w:t>
      </w:r>
      <w:bookmarkEnd w:id="16"/>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w:t>
      </w:r>
      <w:r w:rsidR="004A282E">
        <w:rPr>
          <w:rStyle w:val="2doNivel"/>
          <w:b w:val="0"/>
          <w:i w:val="0"/>
          <w:sz w:val="20"/>
          <w:szCs w:val="20"/>
          <w:lang w:val="es-CO"/>
        </w:rPr>
        <w:t xml:space="preserve"> acceso a financiamiento de empresarios y unidades productivas, </w:t>
      </w:r>
      <w:r w:rsidRPr="00075CC6">
        <w:rPr>
          <w:rStyle w:val="2doNivel"/>
          <w:b w:val="0"/>
          <w:i w:val="0"/>
          <w:sz w:val="20"/>
          <w:szCs w:val="20"/>
          <w:lang w:val="es-CO"/>
        </w:rPr>
        <w:t>comercialización de productos, etc.</w:t>
      </w:r>
    </w:p>
    <w:p w:rsidR="00A43069" w:rsidRDefault="00A43069" w:rsidP="00A43069">
      <w:pPr>
        <w:pStyle w:val="Encabezado1"/>
        <w:ind w:left="0"/>
        <w:rPr>
          <w:rStyle w:val="2doNivel"/>
          <w:sz w:val="20"/>
          <w:szCs w:val="20"/>
          <w:lang w:val="es-CO"/>
        </w:rPr>
      </w:pPr>
    </w:p>
    <w:p w:rsidR="004A282E" w:rsidRDefault="004A282E" w:rsidP="00D44DD6">
      <w:pPr>
        <w:pStyle w:val="Encabezado1"/>
        <w:numPr>
          <w:ilvl w:val="0"/>
          <w:numId w:val="1"/>
        </w:numPr>
        <w:rPr>
          <w:rStyle w:val="2doNivel"/>
        </w:rPr>
      </w:pPr>
      <w:bookmarkStart w:id="17" w:name="_Toc4750441"/>
      <w:r>
        <w:rPr>
          <w:rStyle w:val="2doNivel"/>
        </w:rPr>
        <w:t>APOYOS INTERINSTITUCIONALES</w:t>
      </w:r>
      <w:bookmarkEnd w:id="17"/>
    </w:p>
    <w:p w:rsidR="004A282E" w:rsidRPr="00C667AD" w:rsidRDefault="004A282E" w:rsidP="00C667AD">
      <w:pPr>
        <w:pStyle w:val="Cuerpodetexto"/>
        <w:rPr>
          <w:rStyle w:val="2doNivel"/>
          <w:i w:val="0"/>
          <w:sz w:val="20"/>
        </w:rPr>
      </w:pPr>
    </w:p>
    <w:p w:rsidR="004A282E" w:rsidRPr="005D1F58" w:rsidRDefault="004A282E" w:rsidP="00D44DD6">
      <w:pPr>
        <w:pStyle w:val="Cuerpodetexto"/>
        <w:jc w:val="both"/>
        <w:rPr>
          <w:rStyle w:val="2doNivel"/>
          <w:i w:val="0"/>
          <w:sz w:val="20"/>
          <w:lang w:val="es-CO"/>
        </w:rPr>
      </w:pPr>
      <w:r w:rsidRPr="005D1F58">
        <w:rPr>
          <w:rStyle w:val="2doNivel"/>
          <w:i w:val="0"/>
          <w:sz w:val="20"/>
          <w:lang w:val="es-CO"/>
        </w:rPr>
        <w:t xml:space="preserve">Secretaría Distrital de Desarrollo Económico podrá </w:t>
      </w:r>
      <w:r w:rsidR="00346D37" w:rsidRPr="005D1F58">
        <w:rPr>
          <w:rStyle w:val="2doNivel"/>
          <w:i w:val="0"/>
          <w:sz w:val="20"/>
          <w:lang w:val="es-CO"/>
        </w:rPr>
        <w:t xml:space="preserve">coordinar con entidades afines en el propósito de la educación financiera de la población, el desarrollo de cursos y talleres sobre temas de, finanzas personales, gestión financiera de empresas, estados financieros estructura del sistema financiero colombiano, productos financieros, derechos de consumidor financiero, alistamiento financiero para solicitudes de financiamiento, aspectos tributarios de empresas, etc. </w:t>
      </w:r>
    </w:p>
    <w:p w:rsidR="00346D37" w:rsidRPr="005D1F58" w:rsidRDefault="00346D37" w:rsidP="00D44DD6">
      <w:pPr>
        <w:pStyle w:val="Cuerpodetexto"/>
        <w:jc w:val="both"/>
        <w:rPr>
          <w:rStyle w:val="2doNivel"/>
          <w:i w:val="0"/>
          <w:sz w:val="20"/>
          <w:lang w:val="es-CO"/>
        </w:rPr>
      </w:pPr>
    </w:p>
    <w:p w:rsidR="00346D37" w:rsidRPr="005D1F58" w:rsidRDefault="00346D37" w:rsidP="00D44DD6">
      <w:pPr>
        <w:pStyle w:val="Cuerpodetexto"/>
        <w:jc w:val="both"/>
        <w:rPr>
          <w:rStyle w:val="2doNivel"/>
          <w:i w:val="0"/>
          <w:sz w:val="20"/>
          <w:lang w:val="es-CO"/>
        </w:rPr>
      </w:pPr>
      <w:r w:rsidRPr="005D1F58">
        <w:rPr>
          <w:rStyle w:val="2doNivel"/>
          <w:i w:val="0"/>
          <w:sz w:val="20"/>
          <w:lang w:val="es-CO"/>
        </w:rPr>
        <w:t>Dicha coordinación podrán realizarse con entidades educativas universitarias, Superintendencia Financiera de Colombia, Cámara de Comercio de Bogotá, Servicio Nacional de Aprendizaje – SENA, entidades financieras, gremios financieros como</w:t>
      </w:r>
      <w:r w:rsidR="00FA2987" w:rsidRPr="005D1F58">
        <w:rPr>
          <w:rStyle w:val="2doNivel"/>
          <w:i w:val="0"/>
          <w:sz w:val="20"/>
          <w:lang w:val="es-CO"/>
        </w:rPr>
        <w:t xml:space="preserve"> son</w:t>
      </w:r>
      <w:r w:rsidRPr="005D1F58">
        <w:rPr>
          <w:rStyle w:val="2doNivel"/>
          <w:i w:val="0"/>
          <w:sz w:val="20"/>
          <w:lang w:val="es-CO"/>
        </w:rPr>
        <w:t xml:space="preserve"> Asobancaria y ANIF, Entidades administradoras de Centrales de información financiera, etc.</w:t>
      </w:r>
    </w:p>
    <w:p w:rsidR="004A282E" w:rsidRPr="00C667AD" w:rsidRDefault="004A282E" w:rsidP="00C667AD">
      <w:pPr>
        <w:pStyle w:val="Cuerpodetexto"/>
        <w:rPr>
          <w:rStyle w:val="2doNivel"/>
          <w:b/>
          <w:i w:val="0"/>
          <w:sz w:val="20"/>
          <w:szCs w:val="20"/>
          <w:lang w:val="es-CO"/>
        </w:rPr>
      </w:pPr>
    </w:p>
    <w:p w:rsidR="00CF6874" w:rsidRPr="001C2B9F" w:rsidRDefault="00837F8D" w:rsidP="00D44DD6">
      <w:pPr>
        <w:pStyle w:val="Encabezado1"/>
        <w:numPr>
          <w:ilvl w:val="0"/>
          <w:numId w:val="1"/>
        </w:numPr>
        <w:rPr>
          <w:rStyle w:val="2doNivel"/>
        </w:rPr>
      </w:pPr>
      <w:bookmarkStart w:id="18" w:name="_Toc4750442"/>
      <w:r w:rsidRPr="001C2B9F">
        <w:rPr>
          <w:rStyle w:val="2doNivel"/>
        </w:rPr>
        <w:t>DIVULGACIÓN DE LAS CONDICIONES</w:t>
      </w:r>
      <w:bookmarkEnd w:id="14"/>
      <w:bookmarkEnd w:id="18"/>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Las condiciones de la convocatoria y su inscripción </w:t>
      </w:r>
      <w:r w:rsidR="004A282E">
        <w:rPr>
          <w:sz w:val="20"/>
          <w:szCs w:val="20"/>
          <w:lang w:val="es-CO"/>
        </w:rPr>
        <w:t xml:space="preserve">y participación </w:t>
      </w:r>
      <w:r w:rsidRPr="00075CC6">
        <w:rPr>
          <w:sz w:val="20"/>
          <w:szCs w:val="20"/>
          <w:lang w:val="es-CO"/>
        </w:rPr>
        <w:t>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10">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 xml:space="preserve">la </w:t>
      </w:r>
      <w:r w:rsidR="000B44B6" w:rsidRPr="00075CC6">
        <w:rPr>
          <w:sz w:val="20"/>
          <w:szCs w:val="20"/>
          <w:lang w:val="es-CO"/>
        </w:rPr>
        <w:lastRenderedPageBreak/>
        <w:t>población vulnerable</w:t>
      </w:r>
      <w:r w:rsidR="006F6CDB" w:rsidRPr="00075CC6">
        <w:rPr>
          <w:sz w:val="20"/>
          <w:szCs w:val="20"/>
          <w:lang w:val="es-CO"/>
        </w:rPr>
        <w:t xml:space="preserve"> así como por intermedio de autoridades locales como las Juntas Administradoras Locales y las alcaldías locales.</w:t>
      </w:r>
    </w:p>
    <w:p w:rsidR="000A143A" w:rsidRPr="00075CC6" w:rsidRDefault="000A143A">
      <w:pPr>
        <w:pStyle w:val="Cuerpodetexto"/>
        <w:spacing w:before="1"/>
        <w:ind w:left="113"/>
        <w:jc w:val="both"/>
        <w:rPr>
          <w:sz w:val="20"/>
          <w:szCs w:val="20"/>
          <w:lang w:val="es-CO"/>
        </w:rPr>
      </w:pPr>
    </w:p>
    <w:p w:rsidR="00CF6874" w:rsidRPr="001C2B9F" w:rsidRDefault="00BA275C" w:rsidP="00D44DD6">
      <w:pPr>
        <w:pStyle w:val="Encabezado1"/>
        <w:numPr>
          <w:ilvl w:val="0"/>
          <w:numId w:val="1"/>
        </w:numPr>
        <w:rPr>
          <w:rStyle w:val="2doNivel"/>
        </w:rPr>
      </w:pPr>
      <w:bookmarkStart w:id="19" w:name="_Toc503882955"/>
      <w:bookmarkStart w:id="20" w:name="_Toc4750443"/>
      <w:r w:rsidRPr="001C2B9F">
        <w:rPr>
          <w:rStyle w:val="2doNivel"/>
        </w:rPr>
        <w:t>LUGAR DE INSCRIPCIÓN</w:t>
      </w:r>
      <w:bookmarkEnd w:id="19"/>
      <w:bookmarkEnd w:id="20"/>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sidR="00346D37">
        <w:rPr>
          <w:sz w:val="20"/>
          <w:szCs w:val="20"/>
          <w:lang w:val="es-CO"/>
        </w:rPr>
        <w:t xml:space="preserve">a través de la página WEB de la Secretaría o </w:t>
      </w:r>
      <w:r w:rsidR="00773D4D" w:rsidRPr="00075CC6">
        <w:rPr>
          <w:sz w:val="20"/>
          <w:szCs w:val="20"/>
          <w:lang w:val="es-CO"/>
        </w:rPr>
        <w:t xml:space="preserve">en la </w:t>
      </w:r>
      <w:r w:rsidRPr="00075CC6">
        <w:rPr>
          <w:b/>
          <w:bCs/>
          <w:sz w:val="20"/>
          <w:szCs w:val="20"/>
          <w:lang w:val="es-CO"/>
        </w:rPr>
        <w:t>Subdirección de Financiamiento e Inclusión Financiera</w:t>
      </w:r>
      <w:r w:rsidRPr="00075CC6">
        <w:rPr>
          <w:sz w:val="20"/>
          <w:szCs w:val="20"/>
          <w:lang w:val="es-CO"/>
        </w:rPr>
        <w:t xml:space="preserve"> ubicada en la Carrera 60 N° 63A-52  Plaza de los Artesanos - Salón Kankuamo</w:t>
      </w:r>
      <w:r w:rsidR="00D44DD6">
        <w:rPr>
          <w:sz w:val="20"/>
          <w:szCs w:val="20"/>
          <w:lang w:val="es-CO"/>
        </w:rPr>
        <w:t xml:space="preserve"> o telefónicamente a través del Conmutador </w:t>
      </w:r>
      <w:r w:rsidR="005D1F58">
        <w:rPr>
          <w:sz w:val="20"/>
          <w:szCs w:val="20"/>
          <w:lang w:val="es-CO"/>
        </w:rPr>
        <w:t>3693777 Extensi</w:t>
      </w:r>
      <w:r w:rsidR="00D44DD6">
        <w:rPr>
          <w:sz w:val="20"/>
          <w:szCs w:val="20"/>
          <w:lang w:val="es-CO"/>
        </w:rPr>
        <w:t>ones 106 y 229</w:t>
      </w:r>
      <w:r w:rsidRPr="00075CC6">
        <w:rPr>
          <w:sz w:val="20"/>
          <w:szCs w:val="20"/>
          <w:lang w:val="es-CO"/>
        </w:rPr>
        <w:t>.</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1" w:name="_Toc503882956"/>
      <w:r w:rsidRPr="00250270">
        <w:rPr>
          <w:rStyle w:val="2doNivel"/>
          <w:lang w:val="es-CO"/>
        </w:rPr>
        <w:t xml:space="preserve"> </w:t>
      </w:r>
      <w:bookmarkStart w:id="22" w:name="_Toc4750444"/>
      <w:r w:rsidR="00837F8D" w:rsidRPr="001C2B9F">
        <w:rPr>
          <w:rStyle w:val="2doNivel"/>
        </w:rPr>
        <w:t>APERTURA DE LA CONVOCATORIA</w:t>
      </w:r>
      <w:bookmarkEnd w:id="21"/>
      <w:bookmarkEnd w:id="22"/>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0D6A80" w:rsidRPr="00075CC6">
        <w:rPr>
          <w:sz w:val="20"/>
          <w:szCs w:val="20"/>
          <w:lang w:val="es-CO"/>
        </w:rPr>
        <w:t>1</w:t>
      </w:r>
      <w:r w:rsidRPr="00075CC6">
        <w:rPr>
          <w:sz w:val="20"/>
          <w:szCs w:val="20"/>
          <w:lang w:val="es-CO"/>
        </w:rPr>
        <w:t xml:space="preserve"> de </w:t>
      </w:r>
      <w:r w:rsidR="002A3818">
        <w:rPr>
          <w:sz w:val="20"/>
          <w:szCs w:val="20"/>
          <w:lang w:val="es-CO"/>
        </w:rPr>
        <w:t>abril</w:t>
      </w:r>
      <w:r w:rsidR="00E969AF" w:rsidRPr="00075CC6">
        <w:rPr>
          <w:sz w:val="20"/>
          <w:szCs w:val="20"/>
          <w:lang w:val="es-CO"/>
        </w:rPr>
        <w:t xml:space="preserve"> 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3" w:name="_Toc503882958"/>
      <w:r w:rsidRPr="00250270">
        <w:rPr>
          <w:rStyle w:val="2doNivel"/>
          <w:lang w:val="es-CO"/>
        </w:rPr>
        <w:t xml:space="preserve"> </w:t>
      </w:r>
      <w:bookmarkStart w:id="24" w:name="_Toc4750445"/>
      <w:r w:rsidR="00837F8D" w:rsidRPr="001C2B9F">
        <w:rPr>
          <w:rStyle w:val="2doNivel"/>
        </w:rPr>
        <w:t>CIERRE DE LA CONVOCATORIA</w:t>
      </w:r>
      <w:bookmarkEnd w:id="23"/>
      <w:bookmarkEnd w:id="24"/>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454B7A">
        <w:rPr>
          <w:sz w:val="20"/>
          <w:szCs w:val="20"/>
          <w:lang w:val="es-CO"/>
        </w:rPr>
        <w:t>31</w:t>
      </w:r>
      <w:r w:rsidR="004129EE" w:rsidRPr="00075CC6">
        <w:rPr>
          <w:sz w:val="20"/>
          <w:szCs w:val="20"/>
          <w:lang w:val="es-CO"/>
        </w:rPr>
        <w:t xml:space="preserve"> </w:t>
      </w:r>
      <w:r w:rsidRPr="00075CC6">
        <w:rPr>
          <w:sz w:val="20"/>
          <w:szCs w:val="20"/>
          <w:lang w:val="es-CO"/>
        </w:rPr>
        <w:t xml:space="preserve">de </w:t>
      </w:r>
      <w:r w:rsidR="002A3818">
        <w:rPr>
          <w:sz w:val="20"/>
          <w:szCs w:val="20"/>
          <w:lang w:val="es-CO"/>
        </w:rPr>
        <w:t>mayo</w:t>
      </w:r>
      <w:r w:rsidR="00454B7A">
        <w:rPr>
          <w:sz w:val="20"/>
          <w:szCs w:val="20"/>
          <w:lang w:val="es-CO"/>
        </w:rPr>
        <w:t xml:space="preserv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5D1F58" w:rsidRPr="00075CC6" w:rsidRDefault="005D1F58" w:rsidP="004129EE">
      <w:pPr>
        <w:pStyle w:val="Cuerpodetexto"/>
        <w:spacing w:before="1"/>
        <w:ind w:left="113"/>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0D6A80" w:rsidRPr="00075CC6">
        <w:rPr>
          <w:spacing w:val="4"/>
          <w:sz w:val="20"/>
          <w:szCs w:val="20"/>
          <w:lang w:val="es-CO"/>
        </w:rPr>
        <w:t>1</w:t>
      </w:r>
      <w:r w:rsidR="00BA275C" w:rsidRPr="00075CC6">
        <w:rPr>
          <w:spacing w:val="4"/>
          <w:sz w:val="20"/>
          <w:szCs w:val="20"/>
          <w:lang w:val="es-CO"/>
        </w:rPr>
        <w:t xml:space="preserve"> </w:t>
      </w:r>
      <w:r w:rsidRPr="00075CC6">
        <w:rPr>
          <w:sz w:val="20"/>
          <w:szCs w:val="20"/>
          <w:lang w:val="es-CO"/>
        </w:rPr>
        <w:t xml:space="preserve">del mes de </w:t>
      </w:r>
      <w:r w:rsidR="002A3818">
        <w:rPr>
          <w:sz w:val="20"/>
          <w:szCs w:val="20"/>
          <w:lang w:val="es-CO"/>
        </w:rPr>
        <w:t>abril</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25" w:name="_Toc503882964"/>
      <w:bookmarkStart w:id="26" w:name="_Toc503883037"/>
      <w:r w:rsidRPr="00075CC6">
        <w:rPr>
          <w:sz w:val="20"/>
          <w:szCs w:val="20"/>
          <w:lang w:val="es-CO"/>
        </w:rPr>
        <w:t>URIEL DE JESÚS BAYONA CHONA</w:t>
      </w:r>
      <w:bookmarkEnd w:id="25"/>
      <w:bookmarkEnd w:id="26"/>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CF6874" w:rsidRPr="00FA2987" w:rsidRDefault="00837F8D">
      <w:pPr>
        <w:ind w:left="113"/>
        <w:jc w:val="both"/>
        <w:rPr>
          <w:i/>
          <w:sz w:val="16"/>
          <w:szCs w:val="20"/>
          <w:lang w:val="es-CO"/>
        </w:rPr>
      </w:pPr>
      <w:r w:rsidRPr="00FA2987">
        <w:rPr>
          <w:i/>
          <w:sz w:val="16"/>
          <w:szCs w:val="20"/>
          <w:lang w:val="es-CO"/>
        </w:rPr>
        <w:t xml:space="preserve">Proyectó: Ramiro Ropaín Lobo - Profesional Especializado </w:t>
      </w:r>
      <w:r w:rsidR="00CC6EA9" w:rsidRPr="00FA2987">
        <w:rPr>
          <w:i/>
          <w:sz w:val="16"/>
          <w:szCs w:val="20"/>
          <w:lang w:val="es-CO"/>
        </w:rPr>
        <w:t>–</w:t>
      </w:r>
      <w:r w:rsidRPr="00FA2987">
        <w:rPr>
          <w:i/>
          <w:sz w:val="16"/>
          <w:szCs w:val="20"/>
          <w:lang w:val="es-CO"/>
        </w:rPr>
        <w:t xml:space="preserve"> </w:t>
      </w:r>
      <w:r w:rsidR="00CC6EA9" w:rsidRPr="00FA2987">
        <w:rPr>
          <w:i/>
          <w:sz w:val="16"/>
          <w:szCs w:val="20"/>
          <w:lang w:val="es-CO"/>
        </w:rPr>
        <w:t xml:space="preserve">DDEE - </w:t>
      </w:r>
      <w:r w:rsidRPr="00FA2987">
        <w:rPr>
          <w:i/>
          <w:sz w:val="16"/>
          <w:szCs w:val="20"/>
          <w:lang w:val="es-CO"/>
        </w:rPr>
        <w:t>S</w:t>
      </w:r>
      <w:r w:rsidR="00CC6EA9" w:rsidRPr="00FA2987">
        <w:rPr>
          <w:i/>
          <w:sz w:val="16"/>
          <w:szCs w:val="20"/>
          <w:lang w:val="es-CO"/>
        </w:rPr>
        <w:t>FIF</w:t>
      </w:r>
    </w:p>
    <w:sectPr w:rsidR="00CF6874" w:rsidRPr="00FA2987" w:rsidSect="00075CC6">
      <w:headerReference w:type="default" r:id="rId11"/>
      <w:footerReference w:type="default" r:id="rId12"/>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3D" w:rsidRDefault="0017723D">
      <w:r>
        <w:separator/>
      </w:r>
    </w:p>
  </w:endnote>
  <w:endnote w:type="continuationSeparator" w:id="0">
    <w:p w:rsidR="0017723D" w:rsidRDefault="001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96999" w:rsidRPr="00996999">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96999" w:rsidRPr="00996999">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3D" w:rsidRDefault="0017723D">
      <w:r>
        <w:separator/>
      </w:r>
    </w:p>
  </w:footnote>
  <w:footnote w:type="continuationSeparator" w:id="0">
    <w:p w:rsidR="0017723D" w:rsidRDefault="0017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Pr>
            <w:color w:val="4F81BD" w:themeColor="accent1"/>
            <w:sz w:val="20"/>
            <w:szCs w:val="20"/>
            <w:lang w:val="es-CO"/>
          </w:rPr>
          <w:t>Convocatoria n°. 1</w:t>
        </w:r>
        <w:r w:rsidR="000A143A">
          <w:rPr>
            <w:color w:val="4F81BD" w:themeColor="accent1"/>
            <w:sz w:val="20"/>
            <w:szCs w:val="20"/>
            <w:lang w:val="es-CO"/>
          </w:rPr>
          <w:t>7</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2049A"/>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7"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9"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5"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6"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8"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9"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1"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5"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9"/>
  </w:num>
  <w:num w:numId="4">
    <w:abstractNumId w:val="8"/>
  </w:num>
  <w:num w:numId="5">
    <w:abstractNumId w:val="40"/>
  </w:num>
  <w:num w:numId="6">
    <w:abstractNumId w:val="0"/>
  </w:num>
  <w:num w:numId="7">
    <w:abstractNumId w:val="42"/>
  </w:num>
  <w:num w:numId="8">
    <w:abstractNumId w:val="41"/>
  </w:num>
  <w:num w:numId="9">
    <w:abstractNumId w:val="44"/>
  </w:num>
  <w:num w:numId="10">
    <w:abstractNumId w:val="21"/>
  </w:num>
  <w:num w:numId="11">
    <w:abstractNumId w:val="35"/>
  </w:num>
  <w:num w:numId="12">
    <w:abstractNumId w:val="33"/>
  </w:num>
  <w:num w:numId="13">
    <w:abstractNumId w:val="37"/>
  </w:num>
  <w:num w:numId="14">
    <w:abstractNumId w:val="5"/>
  </w:num>
  <w:num w:numId="15">
    <w:abstractNumId w:val="18"/>
  </w:num>
  <w:num w:numId="16">
    <w:abstractNumId w:val="3"/>
  </w:num>
  <w:num w:numId="17">
    <w:abstractNumId w:val="2"/>
  </w:num>
  <w:num w:numId="18">
    <w:abstractNumId w:val="12"/>
  </w:num>
  <w:num w:numId="19">
    <w:abstractNumId w:val="26"/>
  </w:num>
  <w:num w:numId="20">
    <w:abstractNumId w:val="27"/>
  </w:num>
  <w:num w:numId="21">
    <w:abstractNumId w:val="39"/>
  </w:num>
  <w:num w:numId="22">
    <w:abstractNumId w:val="29"/>
  </w:num>
  <w:num w:numId="23">
    <w:abstractNumId w:val="14"/>
  </w:num>
  <w:num w:numId="24">
    <w:abstractNumId w:val="11"/>
  </w:num>
  <w:num w:numId="25">
    <w:abstractNumId w:val="28"/>
  </w:num>
  <w:num w:numId="26">
    <w:abstractNumId w:val="6"/>
  </w:num>
  <w:num w:numId="27">
    <w:abstractNumId w:val="32"/>
  </w:num>
  <w:num w:numId="28">
    <w:abstractNumId w:val="10"/>
  </w:num>
  <w:num w:numId="29">
    <w:abstractNumId w:val="7"/>
  </w:num>
  <w:num w:numId="30">
    <w:abstractNumId w:val="17"/>
  </w:num>
  <w:num w:numId="31">
    <w:abstractNumId w:val="13"/>
  </w:num>
  <w:num w:numId="32">
    <w:abstractNumId w:val="9"/>
  </w:num>
  <w:num w:numId="33">
    <w:abstractNumId w:val="43"/>
  </w:num>
  <w:num w:numId="34">
    <w:abstractNumId w:val="30"/>
  </w:num>
  <w:num w:numId="35">
    <w:abstractNumId w:val="20"/>
  </w:num>
  <w:num w:numId="36">
    <w:abstractNumId w:val="45"/>
  </w:num>
  <w:num w:numId="37">
    <w:abstractNumId w:val="38"/>
  </w:num>
  <w:num w:numId="38">
    <w:abstractNumId w:val="34"/>
  </w:num>
  <w:num w:numId="39">
    <w:abstractNumId w:val="22"/>
  </w:num>
  <w:num w:numId="40">
    <w:abstractNumId w:val="36"/>
  </w:num>
  <w:num w:numId="41">
    <w:abstractNumId w:val="1"/>
  </w:num>
  <w:num w:numId="42">
    <w:abstractNumId w:val="31"/>
  </w:num>
  <w:num w:numId="43">
    <w:abstractNumId w:val="4"/>
  </w:num>
  <w:num w:numId="44">
    <w:abstractNumId w:val="23"/>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143A"/>
    <w:rsid w:val="000A263F"/>
    <w:rsid w:val="000B44B6"/>
    <w:rsid w:val="000D6A80"/>
    <w:rsid w:val="00147EA1"/>
    <w:rsid w:val="00167CAA"/>
    <w:rsid w:val="0017723D"/>
    <w:rsid w:val="001C2B9F"/>
    <w:rsid w:val="001C40E3"/>
    <w:rsid w:val="001E7F80"/>
    <w:rsid w:val="00250270"/>
    <w:rsid w:val="00265DD2"/>
    <w:rsid w:val="002967FA"/>
    <w:rsid w:val="002A3818"/>
    <w:rsid w:val="002E5442"/>
    <w:rsid w:val="00327A6F"/>
    <w:rsid w:val="00331F9D"/>
    <w:rsid w:val="00346D37"/>
    <w:rsid w:val="003534AD"/>
    <w:rsid w:val="00361664"/>
    <w:rsid w:val="004129EE"/>
    <w:rsid w:val="00423317"/>
    <w:rsid w:val="00433B99"/>
    <w:rsid w:val="00434F2A"/>
    <w:rsid w:val="00454B7A"/>
    <w:rsid w:val="00463372"/>
    <w:rsid w:val="00484D1E"/>
    <w:rsid w:val="004A282E"/>
    <w:rsid w:val="004C4511"/>
    <w:rsid w:val="005D1F58"/>
    <w:rsid w:val="005E42B3"/>
    <w:rsid w:val="00650963"/>
    <w:rsid w:val="00651F66"/>
    <w:rsid w:val="006649AD"/>
    <w:rsid w:val="006A33FF"/>
    <w:rsid w:val="006B7181"/>
    <w:rsid w:val="006D5DB6"/>
    <w:rsid w:val="006E0AC7"/>
    <w:rsid w:val="006F6CDB"/>
    <w:rsid w:val="006F6FC8"/>
    <w:rsid w:val="00706EF5"/>
    <w:rsid w:val="00730511"/>
    <w:rsid w:val="00773D4D"/>
    <w:rsid w:val="00777CAD"/>
    <w:rsid w:val="00785707"/>
    <w:rsid w:val="007F5C9F"/>
    <w:rsid w:val="00837F8D"/>
    <w:rsid w:val="008750AC"/>
    <w:rsid w:val="008F0579"/>
    <w:rsid w:val="009038C4"/>
    <w:rsid w:val="00907D6F"/>
    <w:rsid w:val="00996999"/>
    <w:rsid w:val="009B30DB"/>
    <w:rsid w:val="009F717B"/>
    <w:rsid w:val="00A1460C"/>
    <w:rsid w:val="00A43069"/>
    <w:rsid w:val="00A66B92"/>
    <w:rsid w:val="00A874E4"/>
    <w:rsid w:val="00AD2F62"/>
    <w:rsid w:val="00AE6C8F"/>
    <w:rsid w:val="00B10107"/>
    <w:rsid w:val="00B23654"/>
    <w:rsid w:val="00B33105"/>
    <w:rsid w:val="00B42DE0"/>
    <w:rsid w:val="00B50F00"/>
    <w:rsid w:val="00B75F21"/>
    <w:rsid w:val="00BA275C"/>
    <w:rsid w:val="00BD5D22"/>
    <w:rsid w:val="00BF3B20"/>
    <w:rsid w:val="00C667AD"/>
    <w:rsid w:val="00C752CF"/>
    <w:rsid w:val="00C82EEC"/>
    <w:rsid w:val="00CA6AFE"/>
    <w:rsid w:val="00CC6EA9"/>
    <w:rsid w:val="00CD1BE1"/>
    <w:rsid w:val="00CF3DE4"/>
    <w:rsid w:val="00CF6874"/>
    <w:rsid w:val="00D23EC3"/>
    <w:rsid w:val="00D36B61"/>
    <w:rsid w:val="00D44DD6"/>
    <w:rsid w:val="00DB4D64"/>
    <w:rsid w:val="00DD5C54"/>
    <w:rsid w:val="00DD77BE"/>
    <w:rsid w:val="00E201B5"/>
    <w:rsid w:val="00E6735D"/>
    <w:rsid w:val="00E728E8"/>
    <w:rsid w:val="00E778F9"/>
    <w:rsid w:val="00E84937"/>
    <w:rsid w:val="00E969AF"/>
    <w:rsid w:val="00EA0C41"/>
    <w:rsid w:val="00EC795F"/>
    <w:rsid w:val="00FA2987"/>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sp.presidencia.gov.co/Normativa/Leyes/Documents/ley14481006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sarrolloeconomico.gov.co/" TargetMode="External"/><Relationship Id="rId4" Type="http://schemas.openxmlformats.org/officeDocument/2006/relationships/settings" Target="settings.xml"/><Relationship Id="rId9" Type="http://schemas.openxmlformats.org/officeDocument/2006/relationships/hyperlink" Target="http://wsp.presidencia.gov.co/Normativa/Decretos/2011/Documents/Diciembre/20/dec480020122011.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227802"/>
    <w:rsid w:val="006849DA"/>
    <w:rsid w:val="00763C81"/>
    <w:rsid w:val="007E7EC7"/>
    <w:rsid w:val="00A50BBE"/>
    <w:rsid w:val="00A81AC7"/>
    <w:rsid w:val="00BE3A4B"/>
    <w:rsid w:val="00F33DD2"/>
    <w:rsid w:val="00FF1F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055F-2FCE-4F71-A618-AAAC4D1C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16227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SFIF - Convocatoria n°. 17 - 2019</vt:lpstr>
    </vt:vector>
  </TitlesOfParts>
  <Company>Hewlett-Packard Company</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17 - 2019</dc:title>
  <dc:creator>SECRETARIA</dc:creator>
  <cp:lastModifiedBy>Maria Ines Leon Baez</cp:lastModifiedBy>
  <cp:revision>2</cp:revision>
  <cp:lastPrinted>2019-03-28T20:48:00Z</cp:lastPrinted>
  <dcterms:created xsi:type="dcterms:W3CDTF">2019-04-01T16:03:00Z</dcterms:created>
  <dcterms:modified xsi:type="dcterms:W3CDTF">2019-04-01T16:03:00Z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