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C6" w:rsidRDefault="009E3DC4">
      <w:pPr>
        <w:pBdr>
          <w:top w:val="nil"/>
          <w:left w:val="nil"/>
          <w:bottom w:val="nil"/>
          <w:right w:val="nil"/>
          <w:between w:val="nil"/>
        </w:pBdr>
        <w:jc w:val="center"/>
      </w:pPr>
      <w:bookmarkStart w:id="0" w:name="_GoBack"/>
      <w:bookmarkEnd w:id="0"/>
      <w:r>
        <w:rPr>
          <w:b/>
          <w:sz w:val="20"/>
          <w:szCs w:val="20"/>
        </w:rPr>
        <w:t>SECRETARIA DISTRITAL DE DESARROLLO ECONÓMICO –SDDE-</w:t>
      </w: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9E3DC4">
      <w:pPr>
        <w:pBdr>
          <w:top w:val="nil"/>
          <w:left w:val="nil"/>
          <w:bottom w:val="nil"/>
          <w:right w:val="nil"/>
          <w:between w:val="nil"/>
        </w:pBdr>
        <w:jc w:val="center"/>
      </w:pPr>
      <w:r>
        <w:rPr>
          <w:b/>
          <w:sz w:val="20"/>
          <w:szCs w:val="20"/>
        </w:rPr>
        <w:t>DIRECCIÓN DE DESARROLLO EMPRESARIAL Y EMPLEO</w:t>
      </w:r>
    </w:p>
    <w:p w:rsidR="002762C6" w:rsidRDefault="009E3DC4">
      <w:pPr>
        <w:pBdr>
          <w:top w:val="nil"/>
          <w:left w:val="nil"/>
          <w:bottom w:val="nil"/>
          <w:right w:val="nil"/>
          <w:between w:val="nil"/>
        </w:pBdr>
        <w:jc w:val="center"/>
      </w:pPr>
      <w:r>
        <w:rPr>
          <w:b/>
          <w:sz w:val="20"/>
          <w:szCs w:val="20"/>
        </w:rPr>
        <w:t>SUBDIRECCIÓN DE FINANCIAMIENTO E INCLUSIÓN FINANCIERA</w:t>
      </w:r>
    </w:p>
    <w:p w:rsidR="002762C6" w:rsidRDefault="002762C6">
      <w:pPr>
        <w:pBdr>
          <w:top w:val="nil"/>
          <w:left w:val="nil"/>
          <w:bottom w:val="nil"/>
          <w:right w:val="nil"/>
          <w:between w:val="nil"/>
        </w:pBdr>
        <w:jc w:val="both"/>
        <w:rPr>
          <w:sz w:val="20"/>
          <w:szCs w:val="20"/>
        </w:rPr>
      </w:pPr>
    </w:p>
    <w:p w:rsidR="002762C6" w:rsidRDefault="009E3DC4">
      <w:pPr>
        <w:pBdr>
          <w:top w:val="nil"/>
          <w:left w:val="nil"/>
          <w:bottom w:val="nil"/>
          <w:right w:val="nil"/>
          <w:between w:val="nil"/>
        </w:pBdr>
        <w:tabs>
          <w:tab w:val="left" w:pos="3936"/>
        </w:tabs>
        <w:jc w:val="both"/>
      </w:pPr>
      <w:r>
        <w:rPr>
          <w:sz w:val="20"/>
          <w:szCs w:val="20"/>
        </w:rPr>
        <w:tab/>
      </w: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bookmarkStart w:id="1" w:name="_gjdgxs" w:colFirst="0" w:colLast="0"/>
      <w:bookmarkEnd w:id="1"/>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bookmarkStart w:id="2" w:name="_30j0zll" w:colFirst="0" w:colLast="0"/>
      <w:bookmarkEnd w:id="2"/>
    </w:p>
    <w:p w:rsidR="002762C6" w:rsidRDefault="009E3DC4">
      <w:pPr>
        <w:jc w:val="both"/>
      </w:pPr>
      <w:r>
        <w:rPr>
          <w:b/>
          <w:sz w:val="20"/>
          <w:szCs w:val="20"/>
        </w:rPr>
        <w:t>CONDICIONES PARA PARTICIPAR EN LA CONVOCATORIA N.° 001 DE 2020 PARA BRINDAR HERRAMIENTAS Y HABILIDADES DE FORTALECIMIENTO PRINCIPALMENTE EN TEMAS FINANCIEROS DE LAS UNIDADES DE NEGOCIO,  EMPRESAS Y/O POBLACIÓN EN GENERAL, A TRAVÉS DE TALLERES DE EDUCACIÓN FINANCIERA Y DE APOYO AL FINANCIAMIENTO</w:t>
      </w:r>
      <w:r w:rsidR="0014167C">
        <w:rPr>
          <w:b/>
          <w:sz w:val="20"/>
          <w:szCs w:val="20"/>
        </w:rPr>
        <w:t xml:space="preserve"> </w:t>
      </w:r>
      <w:r>
        <w:rPr>
          <w:b/>
          <w:sz w:val="20"/>
          <w:szCs w:val="20"/>
        </w:rPr>
        <w:t>QUE FORTALEZCAN LAS COMPETENCIAS Y PROMUEVAN EL DESARROLLO DE LAS ACTIVIDADES EMPRESARIALES, EN EL MARCO DEL PLAN DE DESARROLLO “UN NUEVO CONTRATO SOCIAL Y AMBIENTAL PARA LA BOGOTÁ DEL SIGLO XXI” Y DE LAS CONDICIONES ECONÓMICAS GENERADAS POR LA EMERGENCIA SANITARIA</w:t>
      </w:r>
    </w:p>
    <w:p w:rsidR="002762C6" w:rsidRDefault="002762C6">
      <w:pPr>
        <w:spacing w:before="73"/>
        <w:ind w:left="774" w:right="1888" w:firstLine="522"/>
        <w:jc w:val="both"/>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2762C6">
      <w:pPr>
        <w:pBdr>
          <w:top w:val="nil"/>
          <w:left w:val="nil"/>
          <w:bottom w:val="nil"/>
          <w:right w:val="nil"/>
          <w:between w:val="nil"/>
        </w:pBdr>
        <w:spacing w:before="3"/>
        <w:jc w:val="center"/>
        <w:rPr>
          <w:sz w:val="20"/>
          <w:szCs w:val="20"/>
        </w:rPr>
      </w:pPr>
    </w:p>
    <w:p w:rsidR="002762C6" w:rsidRDefault="002762C6">
      <w:pPr>
        <w:pBdr>
          <w:top w:val="nil"/>
          <w:left w:val="nil"/>
          <w:bottom w:val="nil"/>
          <w:right w:val="nil"/>
          <w:between w:val="nil"/>
        </w:pBdr>
        <w:spacing w:before="3"/>
        <w:jc w:val="center"/>
        <w:rPr>
          <w:sz w:val="20"/>
          <w:szCs w:val="20"/>
        </w:rPr>
      </w:pPr>
    </w:p>
    <w:p w:rsidR="002762C6" w:rsidRDefault="002762C6">
      <w:pPr>
        <w:pBdr>
          <w:top w:val="nil"/>
          <w:left w:val="nil"/>
          <w:bottom w:val="nil"/>
          <w:right w:val="nil"/>
          <w:between w:val="nil"/>
        </w:pBdr>
        <w:spacing w:before="3"/>
        <w:jc w:val="center"/>
        <w:rPr>
          <w:sz w:val="20"/>
          <w:szCs w:val="20"/>
        </w:rPr>
      </w:pPr>
    </w:p>
    <w:p w:rsidR="002762C6" w:rsidRDefault="002762C6">
      <w:pPr>
        <w:pBdr>
          <w:top w:val="nil"/>
          <w:left w:val="nil"/>
          <w:bottom w:val="nil"/>
          <w:right w:val="nil"/>
          <w:between w:val="nil"/>
        </w:pBdr>
        <w:spacing w:before="3"/>
        <w:jc w:val="center"/>
        <w:rPr>
          <w:sz w:val="20"/>
          <w:szCs w:val="20"/>
        </w:rPr>
      </w:pPr>
    </w:p>
    <w:p w:rsidR="002762C6" w:rsidRDefault="002762C6">
      <w:pPr>
        <w:pBdr>
          <w:top w:val="nil"/>
          <w:left w:val="nil"/>
          <w:bottom w:val="nil"/>
          <w:right w:val="nil"/>
          <w:between w:val="nil"/>
        </w:pBdr>
        <w:jc w:val="center"/>
        <w:rPr>
          <w:sz w:val="20"/>
          <w:szCs w:val="20"/>
        </w:rPr>
      </w:pPr>
    </w:p>
    <w:p w:rsidR="002762C6" w:rsidRDefault="009E3DC4">
      <w:pPr>
        <w:pBdr>
          <w:top w:val="nil"/>
          <w:left w:val="nil"/>
          <w:bottom w:val="nil"/>
          <w:right w:val="nil"/>
          <w:between w:val="nil"/>
        </w:pBdr>
        <w:jc w:val="center"/>
      </w:pPr>
      <w:r>
        <w:rPr>
          <w:b/>
          <w:sz w:val="20"/>
          <w:szCs w:val="20"/>
        </w:rPr>
        <w:t>BOGOTÁ D.C., 1 DE JULIO DE 2020</w:t>
      </w:r>
    </w:p>
    <w:p w:rsidR="002762C6" w:rsidRDefault="009E3DC4">
      <w:r>
        <w:rPr>
          <w:sz w:val="20"/>
          <w:szCs w:val="20"/>
        </w:rPr>
        <w:t>Tabla de contenido</w:t>
      </w:r>
    </w:p>
    <w:p w:rsidR="002762C6" w:rsidRDefault="002762C6">
      <w:pPr>
        <w:rPr>
          <w:sz w:val="20"/>
          <w:szCs w:val="20"/>
        </w:rPr>
      </w:pPr>
    </w:p>
    <w:sdt>
      <w:sdtPr>
        <w:id w:val="-1420952920"/>
        <w:docPartObj>
          <w:docPartGallery w:val="Table of Contents"/>
          <w:docPartUnique/>
        </w:docPartObj>
      </w:sdtPr>
      <w:sdtContent>
        <w:p w:rsidR="002762C6" w:rsidRDefault="004431D5">
          <w:pPr>
            <w:pBdr>
              <w:top w:val="nil"/>
              <w:left w:val="nil"/>
              <w:bottom w:val="nil"/>
              <w:right w:val="nil"/>
              <w:between w:val="nil"/>
            </w:pBdr>
            <w:tabs>
              <w:tab w:val="right" w:pos="9062"/>
            </w:tabs>
            <w:spacing w:after="100" w:line="259" w:lineRule="auto"/>
            <w:rPr>
              <w:rFonts w:ascii="Calibri" w:eastAsia="Calibri" w:hAnsi="Calibri" w:cs="Calibri"/>
            </w:rPr>
          </w:pPr>
          <w:r>
            <w:fldChar w:fldCharType="begin"/>
          </w:r>
          <w:r w:rsidR="009E3DC4">
            <w:instrText xml:space="preserve"> TOC \h \u \z </w:instrText>
          </w:r>
          <w:r>
            <w:fldChar w:fldCharType="separate"/>
          </w:r>
          <w:hyperlink w:anchor="_1fob9te">
            <w:r w:rsidR="009E3DC4">
              <w:rPr>
                <w:rFonts w:ascii="Calibri" w:eastAsia="Calibri" w:hAnsi="Calibri" w:cs="Calibri"/>
                <w:b/>
              </w:rPr>
              <w:t>MARCO GENERAL</w:t>
            </w:r>
          </w:hyperlink>
          <w:hyperlink w:anchor="_1fob9te">
            <w:r w:rsidR="009E3DC4">
              <w:rPr>
                <w:rFonts w:ascii="Calibri" w:eastAsia="Calibri" w:hAnsi="Calibri" w:cs="Calibri"/>
              </w:rPr>
              <w:tab/>
            </w:r>
          </w:hyperlink>
          <w:r w:rsidR="009E3DC4">
            <w:rPr>
              <w:rFonts w:ascii="Calibri" w:eastAsia="Calibri" w:hAnsi="Calibri" w:cs="Calibri"/>
            </w:rPr>
            <w:t>3</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3znysh7">
            <w:r w:rsidR="009E3DC4">
              <w:rPr>
                <w:rFonts w:ascii="Calibri" w:eastAsia="Calibri" w:hAnsi="Calibri" w:cs="Calibri"/>
                <w:i/>
              </w:rPr>
              <w:t>1.</w:t>
            </w:r>
          </w:hyperlink>
          <w:hyperlink w:anchor="_3znysh7">
            <w:r w:rsidR="009E3DC4">
              <w:rPr>
                <w:rFonts w:ascii="Calibri" w:eastAsia="Calibri" w:hAnsi="Calibri" w:cs="Calibri"/>
              </w:rPr>
              <w:tab/>
            </w:r>
          </w:hyperlink>
          <w:r>
            <w:fldChar w:fldCharType="begin"/>
          </w:r>
          <w:r w:rsidR="009E3DC4">
            <w:instrText xml:space="preserve"> PAGEREF _3znysh7 \h </w:instrText>
          </w:r>
          <w:r>
            <w:fldChar w:fldCharType="separate"/>
          </w:r>
          <w:r w:rsidR="009E3DC4">
            <w:rPr>
              <w:rFonts w:ascii="Calibri" w:eastAsia="Calibri" w:hAnsi="Calibri" w:cs="Calibri"/>
              <w:i/>
            </w:rPr>
            <w:t>OBJETO DE LA CONVOCATORIA</w:t>
          </w:r>
          <w:r w:rsidR="009E3DC4">
            <w:rPr>
              <w:rFonts w:ascii="Calibri" w:eastAsia="Calibri" w:hAnsi="Calibri" w:cs="Calibri"/>
            </w:rPr>
            <w:tab/>
          </w:r>
          <w:r>
            <w:fldChar w:fldCharType="end"/>
          </w:r>
          <w:r w:rsidR="009E3DC4">
            <w:rPr>
              <w:rFonts w:ascii="Calibri" w:eastAsia="Calibri" w:hAnsi="Calibri" w:cs="Calibri"/>
            </w:rPr>
            <w:t>7</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44sinio">
            <w:r w:rsidR="009E3DC4">
              <w:rPr>
                <w:rFonts w:ascii="Calibri" w:eastAsia="Calibri" w:hAnsi="Calibri" w:cs="Calibri"/>
                <w:i/>
              </w:rPr>
              <w:t>2.</w:t>
            </w:r>
          </w:hyperlink>
          <w:hyperlink w:anchor="_44sinio">
            <w:r w:rsidR="009E3DC4">
              <w:rPr>
                <w:rFonts w:ascii="Calibri" w:eastAsia="Calibri" w:hAnsi="Calibri" w:cs="Calibri"/>
              </w:rPr>
              <w:tab/>
            </w:r>
          </w:hyperlink>
          <w:r>
            <w:fldChar w:fldCharType="begin"/>
          </w:r>
          <w:r w:rsidR="009E3DC4">
            <w:instrText xml:space="preserve"> PAGEREF _44sinio \h </w:instrText>
          </w:r>
          <w:r>
            <w:fldChar w:fldCharType="separate"/>
          </w:r>
          <w:r w:rsidR="009E3DC4">
            <w:rPr>
              <w:rFonts w:ascii="Calibri" w:eastAsia="Calibri" w:hAnsi="Calibri" w:cs="Calibri"/>
              <w:i/>
            </w:rPr>
            <w:t>FUNDAMENTOS JURÍDICOS</w:t>
          </w:r>
          <w:r w:rsidR="009E3DC4">
            <w:rPr>
              <w:rFonts w:ascii="Calibri" w:eastAsia="Calibri" w:hAnsi="Calibri" w:cs="Calibri"/>
            </w:rPr>
            <w:tab/>
          </w:r>
          <w:r>
            <w:fldChar w:fldCharType="end"/>
          </w:r>
          <w:r w:rsidR="009E3DC4">
            <w:rPr>
              <w:rFonts w:ascii="Calibri" w:eastAsia="Calibri" w:hAnsi="Calibri" w:cs="Calibri"/>
            </w:rPr>
            <w:t>7</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tyjcwt">
            <w:r w:rsidR="009E3DC4">
              <w:rPr>
                <w:rFonts w:ascii="Calibri" w:eastAsia="Calibri" w:hAnsi="Calibri" w:cs="Calibri"/>
                <w:i/>
              </w:rPr>
              <w:t>3.</w:t>
            </w:r>
          </w:hyperlink>
          <w:hyperlink w:anchor="_tyjcwt">
            <w:r w:rsidR="009E3DC4">
              <w:rPr>
                <w:rFonts w:ascii="Calibri" w:eastAsia="Calibri" w:hAnsi="Calibri" w:cs="Calibri"/>
              </w:rPr>
              <w:tab/>
            </w:r>
          </w:hyperlink>
          <w:r>
            <w:fldChar w:fldCharType="begin"/>
          </w:r>
          <w:r w:rsidR="009E3DC4">
            <w:instrText xml:space="preserve"> PAGEREF _tyjcwt \h </w:instrText>
          </w:r>
          <w:r>
            <w:fldChar w:fldCharType="separate"/>
          </w:r>
          <w:r w:rsidR="009E3DC4">
            <w:rPr>
              <w:rFonts w:ascii="Calibri" w:eastAsia="Calibri" w:hAnsi="Calibri" w:cs="Calibri"/>
              <w:i/>
            </w:rPr>
            <w:t>COBERTURA GEOGRÁFICA</w:t>
          </w:r>
          <w:r w:rsidR="009E3DC4">
            <w:rPr>
              <w:rFonts w:ascii="Calibri" w:eastAsia="Calibri" w:hAnsi="Calibri" w:cs="Calibri"/>
            </w:rPr>
            <w:tab/>
          </w:r>
          <w:r>
            <w:fldChar w:fldCharType="end"/>
          </w:r>
          <w:r w:rsidR="009E3DC4">
            <w:rPr>
              <w:rFonts w:ascii="Calibri" w:eastAsia="Calibri" w:hAnsi="Calibri" w:cs="Calibri"/>
            </w:rPr>
            <w:t>7</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3dy6vkm">
            <w:r w:rsidR="009E3DC4">
              <w:rPr>
                <w:rFonts w:ascii="Calibri" w:eastAsia="Calibri" w:hAnsi="Calibri" w:cs="Calibri"/>
                <w:i/>
              </w:rPr>
              <w:t>4.</w:t>
            </w:r>
          </w:hyperlink>
          <w:hyperlink w:anchor="_3dy6vkm">
            <w:r w:rsidR="009E3DC4">
              <w:rPr>
                <w:rFonts w:ascii="Calibri" w:eastAsia="Calibri" w:hAnsi="Calibri" w:cs="Calibri"/>
              </w:rPr>
              <w:tab/>
            </w:r>
          </w:hyperlink>
          <w:r>
            <w:fldChar w:fldCharType="begin"/>
          </w:r>
          <w:r w:rsidR="009E3DC4">
            <w:instrText xml:space="preserve"> PAGEREF _3dy6vkm \h </w:instrText>
          </w:r>
          <w:r>
            <w:fldChar w:fldCharType="separate"/>
          </w:r>
          <w:r w:rsidR="009E3DC4">
            <w:rPr>
              <w:rFonts w:ascii="Calibri" w:eastAsia="Calibri" w:hAnsi="Calibri" w:cs="Calibri"/>
              <w:i/>
            </w:rPr>
            <w:t>POBLACIÓN OBJETIVO</w:t>
          </w:r>
          <w:r w:rsidR="009E3DC4">
            <w:rPr>
              <w:rFonts w:ascii="Calibri" w:eastAsia="Calibri" w:hAnsi="Calibri" w:cs="Calibri"/>
            </w:rPr>
            <w:tab/>
          </w:r>
          <w:r>
            <w:fldChar w:fldCharType="end"/>
          </w:r>
          <w:r w:rsidR="009E3DC4">
            <w:rPr>
              <w:rFonts w:ascii="Calibri" w:eastAsia="Calibri" w:hAnsi="Calibri" w:cs="Calibri"/>
            </w:rPr>
            <w:t>7</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2jxsxqh">
            <w:r w:rsidR="009E3DC4">
              <w:rPr>
                <w:rFonts w:ascii="Calibri" w:eastAsia="Calibri" w:hAnsi="Calibri" w:cs="Calibri"/>
                <w:i/>
              </w:rPr>
              <w:t>5.</w:t>
            </w:r>
          </w:hyperlink>
          <w:hyperlink w:anchor="_2jxsxqh">
            <w:r w:rsidR="009E3DC4">
              <w:rPr>
                <w:rFonts w:ascii="Calibri" w:eastAsia="Calibri" w:hAnsi="Calibri" w:cs="Calibri"/>
              </w:rPr>
              <w:tab/>
            </w:r>
          </w:hyperlink>
          <w:r>
            <w:fldChar w:fldCharType="begin"/>
          </w:r>
          <w:r w:rsidR="009E3DC4">
            <w:instrText xml:space="preserve"> PAGEREF _2jxsxqh \h </w:instrText>
          </w:r>
          <w:r>
            <w:fldChar w:fldCharType="separate"/>
          </w:r>
          <w:r w:rsidR="009E3DC4">
            <w:rPr>
              <w:rFonts w:ascii="Calibri" w:eastAsia="Calibri" w:hAnsi="Calibri" w:cs="Calibri"/>
              <w:i/>
            </w:rPr>
            <w:t>TALLERES SEMANALES</w:t>
          </w:r>
          <w:r w:rsidR="009E3DC4">
            <w:rPr>
              <w:rFonts w:ascii="Calibri" w:eastAsia="Calibri" w:hAnsi="Calibri" w:cs="Calibri"/>
            </w:rPr>
            <w:tab/>
          </w:r>
          <w:r>
            <w:fldChar w:fldCharType="end"/>
          </w:r>
          <w:r w:rsidR="009E3DC4">
            <w:rPr>
              <w:rFonts w:ascii="Calibri" w:eastAsia="Calibri" w:hAnsi="Calibri" w:cs="Calibri"/>
            </w:rPr>
            <w:t>8</w:t>
          </w:r>
        </w:p>
        <w:p w:rsidR="002762C6" w:rsidRDefault="009E3DC4">
          <w:pPr>
            <w:pBdr>
              <w:top w:val="nil"/>
              <w:left w:val="nil"/>
              <w:bottom w:val="nil"/>
              <w:right w:val="nil"/>
              <w:between w:val="nil"/>
            </w:pBdr>
            <w:tabs>
              <w:tab w:val="left" w:pos="660"/>
              <w:tab w:val="right" w:pos="9062"/>
            </w:tabs>
            <w:spacing w:after="100" w:line="259" w:lineRule="auto"/>
            <w:ind w:left="220"/>
            <w:rPr>
              <w:rFonts w:ascii="Calibri" w:eastAsia="Calibri" w:hAnsi="Calibri" w:cs="Calibri"/>
              <w:i/>
            </w:rPr>
          </w:pPr>
          <w:r>
            <w:rPr>
              <w:rFonts w:ascii="Calibri" w:eastAsia="Calibri" w:hAnsi="Calibri" w:cs="Calibri"/>
              <w:i/>
            </w:rPr>
            <w:t>6.</w:t>
          </w:r>
          <w:r>
            <w:rPr>
              <w:rFonts w:ascii="Calibri" w:eastAsia="Calibri" w:hAnsi="Calibri" w:cs="Calibri"/>
              <w:i/>
            </w:rPr>
            <w:tab/>
          </w:r>
          <w:r w:rsidR="004431D5">
            <w:fldChar w:fldCharType="begin"/>
          </w:r>
          <w:r>
            <w:instrText xml:space="preserve"> PAGEREF _4d34og8 \h </w:instrText>
          </w:r>
          <w:r w:rsidR="004431D5">
            <w:fldChar w:fldCharType="separate"/>
          </w:r>
          <w:r>
            <w:rPr>
              <w:rFonts w:ascii="Calibri" w:eastAsia="Calibri" w:hAnsi="Calibri" w:cs="Calibri"/>
              <w:i/>
            </w:rPr>
            <w:t>CAPACITACIONES GRUPALES</w:t>
          </w:r>
          <w:r>
            <w:rPr>
              <w:rFonts w:ascii="Calibri" w:eastAsia="Calibri" w:hAnsi="Calibri" w:cs="Calibri"/>
            </w:rPr>
            <w:tab/>
          </w:r>
          <w:r w:rsidR="004431D5">
            <w:fldChar w:fldCharType="end"/>
          </w:r>
          <w:r>
            <w:rPr>
              <w:rFonts w:ascii="Calibri" w:eastAsia="Calibri" w:hAnsi="Calibri" w:cs="Calibri"/>
              <w:i/>
            </w:rPr>
            <w:t>8</w:t>
          </w:r>
        </w:p>
        <w:p w:rsidR="002762C6" w:rsidRDefault="009E3DC4">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r>
            <w:rPr>
              <w:rFonts w:ascii="Calibri" w:eastAsia="Calibri" w:hAnsi="Calibri" w:cs="Calibri"/>
              <w:i/>
            </w:rPr>
            <w:t>7.</w:t>
          </w:r>
          <w:r>
            <w:rPr>
              <w:rFonts w:ascii="Calibri" w:eastAsia="Calibri" w:hAnsi="Calibri" w:cs="Calibri"/>
              <w:i/>
            </w:rPr>
            <w:tab/>
            <w:t>APOYO AL FINANCIAMIENTO</w:t>
          </w:r>
          <w:r>
            <w:rPr>
              <w:rFonts w:ascii="Calibri" w:eastAsia="Calibri" w:hAnsi="Calibri" w:cs="Calibri"/>
              <w:i/>
            </w:rPr>
            <w:tab/>
            <w:t>8</w:t>
          </w:r>
        </w:p>
        <w:p w:rsidR="002762C6" w:rsidRDefault="009E3DC4">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r>
            <w:rPr>
              <w:rFonts w:ascii="Calibri" w:eastAsia="Calibri" w:hAnsi="Calibri" w:cs="Calibri"/>
              <w:i/>
            </w:rPr>
            <w:t>8</w:t>
          </w:r>
          <w:hyperlink w:anchor="_17dp8vu">
            <w:r>
              <w:rPr>
                <w:rFonts w:ascii="Calibri" w:eastAsia="Calibri" w:hAnsi="Calibri" w:cs="Calibri"/>
                <w:i/>
              </w:rPr>
              <w:t>.</w:t>
            </w:r>
          </w:hyperlink>
          <w:hyperlink w:anchor="_17dp8vu">
            <w:r>
              <w:rPr>
                <w:rFonts w:ascii="Calibri" w:eastAsia="Calibri" w:hAnsi="Calibri" w:cs="Calibri"/>
              </w:rPr>
              <w:tab/>
            </w:r>
          </w:hyperlink>
          <w:r w:rsidR="004431D5">
            <w:fldChar w:fldCharType="begin"/>
          </w:r>
          <w:r>
            <w:instrText xml:space="preserve"> PAGEREF _17dp8vu \h </w:instrText>
          </w:r>
          <w:r w:rsidR="004431D5">
            <w:fldChar w:fldCharType="separate"/>
          </w:r>
          <w:r>
            <w:rPr>
              <w:rFonts w:ascii="Calibri" w:eastAsia="Calibri" w:hAnsi="Calibri" w:cs="Calibri"/>
              <w:i/>
            </w:rPr>
            <w:t>APOYOS INTERINSTITUCIONALES</w:t>
          </w:r>
          <w:r>
            <w:rPr>
              <w:rFonts w:ascii="Calibri" w:eastAsia="Calibri" w:hAnsi="Calibri" w:cs="Calibri"/>
            </w:rPr>
            <w:tab/>
          </w:r>
          <w:r w:rsidR="004431D5">
            <w:fldChar w:fldCharType="end"/>
          </w:r>
          <w:r>
            <w:rPr>
              <w:rFonts w:ascii="Calibri" w:eastAsia="Calibri" w:hAnsi="Calibri" w:cs="Calibri"/>
            </w:rPr>
            <w:t>9</w:t>
          </w:r>
        </w:p>
        <w:p w:rsidR="002762C6" w:rsidRDefault="004431D5">
          <w:pPr>
            <w:pBdr>
              <w:top w:val="nil"/>
              <w:left w:val="nil"/>
              <w:bottom w:val="nil"/>
              <w:right w:val="nil"/>
              <w:between w:val="nil"/>
            </w:pBdr>
            <w:tabs>
              <w:tab w:val="left" w:pos="660"/>
              <w:tab w:val="right" w:pos="9062"/>
            </w:tabs>
            <w:spacing w:after="100" w:line="259" w:lineRule="auto"/>
            <w:ind w:left="220"/>
            <w:rPr>
              <w:rFonts w:ascii="Calibri" w:eastAsia="Calibri" w:hAnsi="Calibri" w:cs="Calibri"/>
            </w:rPr>
          </w:pPr>
          <w:hyperlink w:anchor="_3rdcrjn">
            <w:r w:rsidR="009E3DC4">
              <w:rPr>
                <w:rFonts w:ascii="Calibri" w:eastAsia="Calibri" w:hAnsi="Calibri" w:cs="Calibri"/>
                <w:i/>
              </w:rPr>
              <w:t>9.</w:t>
            </w:r>
          </w:hyperlink>
          <w:hyperlink w:anchor="_3rdcrjn">
            <w:r w:rsidR="009E3DC4">
              <w:rPr>
                <w:rFonts w:ascii="Calibri" w:eastAsia="Calibri" w:hAnsi="Calibri" w:cs="Calibri"/>
              </w:rPr>
              <w:tab/>
            </w:r>
          </w:hyperlink>
          <w:r>
            <w:fldChar w:fldCharType="begin"/>
          </w:r>
          <w:r w:rsidR="009E3DC4">
            <w:instrText xml:space="preserve"> PAGEREF _3rdcrjn \h </w:instrText>
          </w:r>
          <w:r>
            <w:fldChar w:fldCharType="separate"/>
          </w:r>
          <w:r w:rsidR="009E3DC4">
            <w:rPr>
              <w:rFonts w:ascii="Calibri" w:eastAsia="Calibri" w:hAnsi="Calibri" w:cs="Calibri"/>
              <w:i/>
            </w:rPr>
            <w:t>DIVULGACIÓN</w:t>
          </w:r>
          <w:r>
            <w:fldChar w:fldCharType="end"/>
          </w:r>
          <w:r w:rsidR="009E3DC4">
            <w:rPr>
              <w:rFonts w:ascii="Calibri" w:eastAsia="Calibri" w:hAnsi="Calibri" w:cs="Calibri"/>
            </w:rPr>
            <w:tab/>
            <w:t>9</w:t>
          </w:r>
        </w:p>
        <w:p w:rsidR="002762C6" w:rsidRDefault="004431D5">
          <w:pPr>
            <w:pBdr>
              <w:top w:val="nil"/>
              <w:left w:val="nil"/>
              <w:bottom w:val="nil"/>
              <w:right w:val="nil"/>
              <w:between w:val="nil"/>
            </w:pBdr>
            <w:tabs>
              <w:tab w:val="left" w:pos="880"/>
              <w:tab w:val="right" w:pos="9062"/>
            </w:tabs>
            <w:spacing w:after="100" w:line="259" w:lineRule="auto"/>
            <w:ind w:left="220"/>
            <w:rPr>
              <w:rFonts w:ascii="Calibri" w:eastAsia="Calibri" w:hAnsi="Calibri" w:cs="Calibri"/>
            </w:rPr>
          </w:pPr>
          <w:hyperlink w:anchor="_26in1rg">
            <w:r w:rsidR="009E3DC4">
              <w:rPr>
                <w:rFonts w:ascii="Calibri" w:eastAsia="Calibri" w:hAnsi="Calibri" w:cs="Calibri"/>
                <w:i/>
              </w:rPr>
              <w:t>10.</w:t>
            </w:r>
          </w:hyperlink>
          <w:hyperlink w:anchor="_26in1rg">
            <w:r w:rsidR="009E3DC4">
              <w:rPr>
                <w:rFonts w:ascii="Calibri" w:eastAsia="Calibri" w:hAnsi="Calibri" w:cs="Calibri"/>
              </w:rPr>
              <w:tab/>
            </w:r>
          </w:hyperlink>
          <w:r>
            <w:fldChar w:fldCharType="begin"/>
          </w:r>
          <w:r w:rsidR="009E3DC4">
            <w:instrText xml:space="preserve"> PAGEREF _26in1rg \h </w:instrText>
          </w:r>
          <w:r>
            <w:fldChar w:fldCharType="separate"/>
          </w:r>
          <w:r w:rsidR="009E3DC4">
            <w:rPr>
              <w:rFonts w:ascii="Calibri" w:eastAsia="Calibri" w:hAnsi="Calibri" w:cs="Calibri"/>
              <w:i/>
            </w:rPr>
            <w:t>REGISTRO</w:t>
          </w:r>
          <w:r w:rsidR="009E3DC4">
            <w:rPr>
              <w:rFonts w:ascii="Calibri" w:eastAsia="Calibri" w:hAnsi="Calibri" w:cs="Calibri"/>
            </w:rPr>
            <w:tab/>
          </w:r>
          <w:r>
            <w:fldChar w:fldCharType="end"/>
          </w:r>
          <w:r w:rsidR="009E3DC4">
            <w:rPr>
              <w:rFonts w:ascii="Calibri" w:eastAsia="Calibri" w:hAnsi="Calibri" w:cs="Calibri"/>
            </w:rPr>
            <w:t>9</w:t>
          </w:r>
        </w:p>
        <w:p w:rsidR="002762C6" w:rsidRDefault="004431D5">
          <w:pPr>
            <w:pBdr>
              <w:top w:val="nil"/>
              <w:left w:val="nil"/>
              <w:bottom w:val="nil"/>
              <w:right w:val="nil"/>
              <w:between w:val="nil"/>
            </w:pBdr>
            <w:tabs>
              <w:tab w:val="left" w:pos="880"/>
              <w:tab w:val="right" w:pos="9062"/>
            </w:tabs>
            <w:spacing w:after="100" w:line="259" w:lineRule="auto"/>
            <w:ind w:left="220"/>
            <w:rPr>
              <w:rFonts w:ascii="Calibri" w:eastAsia="Calibri" w:hAnsi="Calibri" w:cs="Calibri"/>
            </w:rPr>
          </w:pPr>
          <w:hyperlink w:anchor="_z337ya">
            <w:r w:rsidR="009E3DC4">
              <w:rPr>
                <w:rFonts w:ascii="Calibri" w:eastAsia="Calibri" w:hAnsi="Calibri" w:cs="Calibri"/>
                <w:i/>
              </w:rPr>
              <w:t>11.</w:t>
            </w:r>
          </w:hyperlink>
          <w:hyperlink w:anchor="_z337ya">
            <w:r w:rsidR="009E3DC4">
              <w:rPr>
                <w:rFonts w:ascii="Calibri" w:eastAsia="Calibri" w:hAnsi="Calibri" w:cs="Calibri"/>
              </w:rPr>
              <w:tab/>
            </w:r>
          </w:hyperlink>
          <w:r>
            <w:fldChar w:fldCharType="begin"/>
          </w:r>
          <w:r w:rsidR="009E3DC4">
            <w:instrText xml:space="preserve"> PAGEREF _z337ya \h </w:instrText>
          </w:r>
          <w:r>
            <w:fldChar w:fldCharType="separate"/>
          </w:r>
          <w:r w:rsidR="009E3DC4">
            <w:rPr>
              <w:rFonts w:ascii="Calibri" w:eastAsia="Calibri" w:hAnsi="Calibri" w:cs="Calibri"/>
              <w:i/>
            </w:rPr>
            <w:t>APERTURA DE LA CONVOCATORIA</w:t>
          </w:r>
          <w:r w:rsidR="009E3DC4">
            <w:rPr>
              <w:rFonts w:ascii="Calibri" w:eastAsia="Calibri" w:hAnsi="Calibri" w:cs="Calibri"/>
            </w:rPr>
            <w:tab/>
          </w:r>
          <w:r>
            <w:fldChar w:fldCharType="end"/>
          </w:r>
          <w:r w:rsidR="009E3DC4">
            <w:rPr>
              <w:rFonts w:ascii="Calibri" w:eastAsia="Calibri" w:hAnsi="Calibri" w:cs="Calibri"/>
            </w:rPr>
            <w:t>9</w:t>
          </w:r>
        </w:p>
        <w:p w:rsidR="002762C6" w:rsidRDefault="004431D5">
          <w:pPr>
            <w:pBdr>
              <w:top w:val="nil"/>
              <w:left w:val="nil"/>
              <w:bottom w:val="nil"/>
              <w:right w:val="nil"/>
              <w:between w:val="nil"/>
            </w:pBdr>
            <w:tabs>
              <w:tab w:val="left" w:pos="880"/>
              <w:tab w:val="right" w:pos="9062"/>
            </w:tabs>
            <w:spacing w:after="100" w:line="259" w:lineRule="auto"/>
            <w:ind w:left="220"/>
            <w:rPr>
              <w:rFonts w:ascii="Calibri" w:eastAsia="Calibri" w:hAnsi="Calibri" w:cs="Calibri"/>
            </w:rPr>
          </w:pPr>
          <w:hyperlink w:anchor="_1ksv4uv">
            <w:r w:rsidR="009E3DC4">
              <w:rPr>
                <w:rFonts w:ascii="Calibri" w:eastAsia="Calibri" w:hAnsi="Calibri" w:cs="Calibri"/>
                <w:i/>
              </w:rPr>
              <w:t>12.</w:t>
            </w:r>
          </w:hyperlink>
          <w:hyperlink w:anchor="_1ksv4uv">
            <w:r w:rsidR="009E3DC4">
              <w:rPr>
                <w:rFonts w:ascii="Calibri" w:eastAsia="Calibri" w:hAnsi="Calibri" w:cs="Calibri"/>
              </w:rPr>
              <w:tab/>
            </w:r>
          </w:hyperlink>
          <w:r>
            <w:fldChar w:fldCharType="begin"/>
          </w:r>
          <w:r w:rsidR="009E3DC4">
            <w:instrText xml:space="preserve"> PAGEREF _1ksv4uv \h </w:instrText>
          </w:r>
          <w:r>
            <w:fldChar w:fldCharType="separate"/>
          </w:r>
          <w:r w:rsidR="009E3DC4">
            <w:rPr>
              <w:rFonts w:ascii="Calibri" w:eastAsia="Calibri" w:hAnsi="Calibri" w:cs="Calibri"/>
              <w:i/>
            </w:rPr>
            <w:t>CIERRE DE LA CONVOCATORIA</w:t>
          </w:r>
          <w:r w:rsidR="009E3DC4">
            <w:rPr>
              <w:rFonts w:ascii="Calibri" w:eastAsia="Calibri" w:hAnsi="Calibri" w:cs="Calibri"/>
            </w:rPr>
            <w:tab/>
          </w:r>
          <w:r>
            <w:fldChar w:fldCharType="end"/>
          </w:r>
          <w:r w:rsidR="009E3DC4">
            <w:rPr>
              <w:rFonts w:ascii="Calibri" w:eastAsia="Calibri" w:hAnsi="Calibri" w:cs="Calibri"/>
            </w:rPr>
            <w:t>9</w:t>
          </w:r>
          <w:r>
            <w:fldChar w:fldCharType="end"/>
          </w:r>
        </w:p>
      </w:sdtContent>
    </w:sdt>
    <w:p w:rsidR="002762C6" w:rsidRDefault="002762C6">
      <w:pPr>
        <w:rPr>
          <w:sz w:val="20"/>
          <w:szCs w:val="20"/>
        </w:rPr>
      </w:pPr>
    </w:p>
    <w:p w:rsidR="002762C6" w:rsidRDefault="002762C6">
      <w:pPr>
        <w:rPr>
          <w:sz w:val="20"/>
          <w:szCs w:val="20"/>
        </w:rPr>
      </w:pPr>
    </w:p>
    <w:p w:rsidR="002762C6" w:rsidRDefault="002762C6">
      <w:pPr>
        <w:pBdr>
          <w:top w:val="nil"/>
          <w:left w:val="nil"/>
          <w:bottom w:val="nil"/>
          <w:right w:val="nil"/>
          <w:between w:val="nil"/>
        </w:pBdr>
        <w:spacing w:before="73"/>
        <w:ind w:right="1888"/>
        <w:jc w:val="both"/>
        <w:rPr>
          <w:b/>
          <w:sz w:val="20"/>
          <w:szCs w:val="20"/>
        </w:rPr>
      </w:pPr>
    </w:p>
    <w:p w:rsidR="002762C6" w:rsidRDefault="002762C6">
      <w:pPr>
        <w:rPr>
          <w:sz w:val="20"/>
          <w:szCs w:val="20"/>
        </w:rPr>
      </w:pPr>
      <w:bookmarkStart w:id="3" w:name="_1fob9te" w:colFirst="0" w:colLast="0"/>
      <w:bookmarkEnd w:id="3"/>
    </w:p>
    <w:p w:rsidR="002762C6" w:rsidRDefault="009E3DC4">
      <w:pPr>
        <w:pBdr>
          <w:top w:val="nil"/>
          <w:left w:val="nil"/>
          <w:bottom w:val="nil"/>
          <w:right w:val="nil"/>
          <w:between w:val="nil"/>
        </w:pBdr>
        <w:rPr>
          <w:sz w:val="20"/>
          <w:szCs w:val="20"/>
        </w:rPr>
      </w:pPr>
      <w:r>
        <w:br w:type="page"/>
      </w:r>
      <w:r>
        <w:rPr>
          <w:b/>
          <w:sz w:val="24"/>
          <w:szCs w:val="24"/>
        </w:rPr>
        <w:lastRenderedPageBreak/>
        <w:t>MARCO GENERAL</w:t>
      </w:r>
    </w:p>
    <w:p w:rsidR="002762C6" w:rsidRDefault="002762C6">
      <w:pPr>
        <w:pBdr>
          <w:top w:val="nil"/>
          <w:left w:val="nil"/>
          <w:bottom w:val="nil"/>
          <w:right w:val="nil"/>
          <w:between w:val="nil"/>
        </w:pBdr>
        <w:jc w:val="both"/>
        <w:rPr>
          <w:sz w:val="20"/>
          <w:szCs w:val="20"/>
        </w:rPr>
      </w:pPr>
    </w:p>
    <w:p w:rsidR="002762C6" w:rsidRDefault="009E3DC4">
      <w:pPr>
        <w:jc w:val="both"/>
      </w:pPr>
      <w:r>
        <w:rPr>
          <w:sz w:val="20"/>
          <w:szCs w:val="20"/>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Pr>
          <w:i/>
          <w:sz w:val="20"/>
          <w:szCs w:val="20"/>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2762C6" w:rsidRDefault="002762C6">
      <w:pPr>
        <w:jc w:val="both"/>
        <w:rPr>
          <w:sz w:val="20"/>
          <w:szCs w:val="20"/>
        </w:rPr>
      </w:pPr>
    </w:p>
    <w:p w:rsidR="002762C6" w:rsidRDefault="009E3DC4">
      <w:pPr>
        <w:jc w:val="both"/>
      </w:pPr>
      <w:r>
        <w:rPr>
          <w:sz w:val="20"/>
          <w:szCs w:val="20"/>
        </w:rPr>
        <w:t xml:space="preserve">El artículo 2° del Decreto 437 de 2016, mediante el cual se “(…) determina la estructura organizacional, las funciones de la Secretaría Distrital de Desarrollo Económico, y se dictan otras disposiciones”, en concordancia con  el artículo  78 del Acuerdo mencionado,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w:t>
      </w:r>
      <w:r>
        <w:rPr>
          <w:sz w:val="20"/>
          <w:szCs w:val="20"/>
        </w:rPr>
        <w:lastRenderedPageBreak/>
        <w:t>de escala. p. Formular y orientar la política de ciencia, tecnología e innovación del Distrito Capital, en coordinación con las Secretarías Distritales de Planeación y de Educación”.</w:t>
      </w:r>
    </w:p>
    <w:p w:rsidR="002762C6" w:rsidRDefault="002762C6">
      <w:pPr>
        <w:jc w:val="both"/>
        <w:rPr>
          <w:sz w:val="20"/>
          <w:szCs w:val="20"/>
        </w:rPr>
      </w:pPr>
    </w:p>
    <w:p w:rsidR="002762C6" w:rsidRDefault="009E3DC4">
      <w:pPr>
        <w:jc w:val="both"/>
      </w:pPr>
      <w:r>
        <w:rPr>
          <w:sz w:val="20"/>
          <w:szCs w:val="20"/>
        </w:rPr>
        <w:t xml:space="preserve">La Secretaría Distrital de Desarrollo Económico en su estructura cuenta con la </w:t>
      </w:r>
      <w:r>
        <w:rPr>
          <w:b/>
          <w:sz w:val="20"/>
          <w:szCs w:val="20"/>
        </w:rPr>
        <w:t>DIRECCIÓN DE</w:t>
      </w:r>
      <w:r>
        <w:rPr>
          <w:sz w:val="20"/>
          <w:szCs w:val="20"/>
        </w:rPr>
        <w:t xml:space="preserve"> </w:t>
      </w:r>
      <w:r>
        <w:rPr>
          <w:b/>
          <w:sz w:val="20"/>
          <w:szCs w:val="20"/>
        </w:rPr>
        <w:t>DESARROLLO EMPRESARIAL Y EMPLEO</w:t>
      </w:r>
      <w:r>
        <w:rPr>
          <w:sz w:val="20"/>
          <w:szCs w:val="20"/>
        </w:rPr>
        <w:t xml:space="preserve">, que de acuerdo con el Artículo 16 del Decreto 437 de 2016, tiene las siguientes funciones: </w:t>
      </w:r>
      <w:r>
        <w:rPr>
          <w:i/>
          <w:sz w:val="20"/>
          <w:szCs w:val="20"/>
        </w:rPr>
        <w:t>“a. Asesorar al despacho en la formulación de políticas, planes, programas y proyectos encaminados a impulsar el desarrollo empresarial y optimizar la intermediación laboral de la ciudad, en coordinación con entidades adscritas y otras entidades públicas y privadas. Formular y liderar la implementación de políticas públicas, planes, programas y proyectos orientados al desarrollo empresarial mediante la consolidación del ecosistema de emprendimiento de la ciudad, el fortalecimiento empresarial, la formalización, la mejora de la competencia,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2762C6" w:rsidRDefault="002762C6">
      <w:pPr>
        <w:jc w:val="both"/>
        <w:rPr>
          <w:sz w:val="20"/>
          <w:szCs w:val="20"/>
        </w:rPr>
      </w:pPr>
    </w:p>
    <w:p w:rsidR="002762C6" w:rsidRDefault="009E3DC4">
      <w:pPr>
        <w:jc w:val="both"/>
      </w:pPr>
      <w:r>
        <w:rPr>
          <w:sz w:val="20"/>
          <w:szCs w:val="20"/>
        </w:rPr>
        <w:t xml:space="preserve">Que la </w:t>
      </w:r>
      <w:r>
        <w:rPr>
          <w:b/>
          <w:sz w:val="20"/>
          <w:szCs w:val="20"/>
        </w:rPr>
        <w:t>DIRECCIÓN DE DESARROLLO EMPRESARIAL Y EMPLEO</w:t>
      </w:r>
      <w:r>
        <w:rPr>
          <w:sz w:val="20"/>
          <w:szCs w:val="20"/>
        </w:rPr>
        <w:t xml:space="preserve"> está conformada entre otras, por la </w:t>
      </w:r>
      <w:r>
        <w:rPr>
          <w:b/>
          <w:sz w:val="20"/>
          <w:szCs w:val="20"/>
        </w:rPr>
        <w:t>SUBDIRECCIÓN DE FINANCIAMIENTO E INCLUSIÓN FINANCIERA</w:t>
      </w:r>
      <w:r>
        <w:rPr>
          <w:sz w:val="20"/>
          <w:szCs w:val="20"/>
        </w:rPr>
        <w:t xml:space="preserve">, que según el artículo 19 del Decreto 437 de 2016 cuenta con las siguientes funciones: </w:t>
      </w:r>
      <w:r>
        <w:rPr>
          <w:i/>
          <w:sz w:val="20"/>
          <w:szCs w:val="20"/>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2762C6" w:rsidRDefault="002762C6">
      <w:pPr>
        <w:spacing w:before="73"/>
        <w:jc w:val="both"/>
        <w:rPr>
          <w:sz w:val="20"/>
          <w:szCs w:val="20"/>
        </w:rPr>
      </w:pPr>
    </w:p>
    <w:p w:rsidR="002762C6" w:rsidRDefault="009E3DC4">
      <w:pPr>
        <w:spacing w:before="73"/>
        <w:jc w:val="both"/>
        <w:rPr>
          <w:sz w:val="20"/>
          <w:szCs w:val="20"/>
        </w:rPr>
      </w:pPr>
      <w:r>
        <w:rPr>
          <w:i/>
          <w:sz w:val="20"/>
          <w:szCs w:val="20"/>
        </w:rPr>
        <w:t xml:space="preserve">Que si bien el choque por el COVID-19 es transitorio, sus impactos negativos pueden extenderse al año 2021 y siguientes, si no se implementan medidas de política económica que mitiguen el impacto negativo sobre el tejido productivo de la ciudad, con la destrucción sistemática de empleos y la desaparición de empresas en las diferentes actividades económicas afectadas por las medidas de aislamiento. Fedesarrollo estima para Colombia una tasa de desempleo entre 16.3% y 20,5%. Tomando en cuenta que las tasas nacionales y distritales tienden a ir muy similares, es esperable que la ciudad presentará un comportamiento muy similar. Según cálculos detallados de la SDH, el desempleo en Bogotá pasaría de 10,9% en 2019, a niveles que se ubicarían alrededor de 18% en el escenario medio, con corte a 30 de abril la tasa de desubicación está en el 11.6%. Dicho resultado afectaría de manera sensible la condición económica y de bienestar de la población de la ciudad, y </w:t>
      </w:r>
      <w:r>
        <w:rPr>
          <w:i/>
          <w:sz w:val="20"/>
          <w:szCs w:val="20"/>
        </w:rPr>
        <w:lastRenderedPageBreak/>
        <w:t>elevarían la incidencia de pobreza monetaria, con un retroceso frente a las reducciones en la tasa de pobreza logradas en la última década.</w:t>
      </w:r>
    </w:p>
    <w:p w:rsidR="002762C6" w:rsidRDefault="009E3DC4">
      <w:pPr>
        <w:spacing w:before="73"/>
        <w:jc w:val="both"/>
        <w:rPr>
          <w:sz w:val="20"/>
          <w:szCs w:val="20"/>
        </w:rPr>
      </w:pPr>
      <w:r>
        <w:rPr>
          <w:sz w:val="20"/>
          <w:szCs w:val="20"/>
        </w:rPr>
        <w:t>Que la estructura de la economía bogotana se caracteriza por su gran dimensión en comparación con otros territorios y su orientación al mercado interno con énfasis en el sector de servicios. La capital de la república concentra más del 85% de las grandes industrias y el 95% de las medianas y pequeñas empresas. A medida que el nivel de crecimiento aumenta, encontramos el perfil de compañías definido como empresas de estilo de vida y de la segunda economía, la cuales podemos caracterizar como unidades productivas con capacidad de crear y capturar valor en tasas de crecimiento sostenidas, con retos fundamentales para su progreso como: financiamiento, liquidez, acceso a talento. En este espacio a nivel Bogotá-Región enfrentamos algunos de los mayores retos desde los cuales hay una posibilidad de impacto desde el sector público, ya que encontramos como una amenaza latente para las firmas, denominado el valle de la muerte, ya que si bien son miles las empresas que se crean, no hay que olvidar que alrededor del 50% no sobreviven más allá de 5 años y, de estas, el 98% son microempresas. Esto es un fenómeno que ya se observaba previo a la crisis del COVID-19 por fallas de mercado, pero que con la coyuntura actual tiende a profundizarse.</w:t>
      </w:r>
    </w:p>
    <w:p w:rsidR="002762C6" w:rsidRDefault="009E3DC4">
      <w:pPr>
        <w:spacing w:before="73"/>
        <w:jc w:val="both"/>
        <w:rPr>
          <w:sz w:val="20"/>
          <w:szCs w:val="20"/>
        </w:rPr>
      </w:pPr>
      <w:r>
        <w:rPr>
          <w:sz w:val="20"/>
          <w:szCs w:val="20"/>
        </w:rPr>
        <w:t>Que para Bogotá es vital, entonces, invertir en capital humano, infraestructura, industria, e innovación. Si bien en el corto plazo, con los efectos del COVID-19, será fundamental garantizar los instrumentos que permitan a las empresas continuar funcionando.</w:t>
      </w:r>
    </w:p>
    <w:p w:rsidR="002762C6" w:rsidRDefault="009E3DC4">
      <w:pPr>
        <w:spacing w:before="73"/>
        <w:jc w:val="both"/>
        <w:rPr>
          <w:sz w:val="20"/>
          <w:szCs w:val="20"/>
        </w:rPr>
      </w:pPr>
      <w:r>
        <w:rPr>
          <w:sz w:val="20"/>
          <w:szCs w:val="20"/>
        </w:rPr>
        <w:t>Que a raíz de la pandemia declarada por la OMS a inicios del 2020, generada por el COVID 19 y dado su gran impacto sobre la salud pública y dinámica social y económica, el 21 de abril FEDESARROLLO actualizó sus pronósticos de crecimiento económico para 2020. Señaló que la contracción de la actividad económica en 2020 estará en el rango de -2,7% al -7,9%, con una tasa de desempleo no inferior al 16,3%, es decir, 1.4 millones de nuevos desempleados. Bajo el contexto actual de la pandemia originada por el COVID 19, las empresas de la ciudad se han visto altamente afectadas en sus ingresos y operaciones. Existen sectores especialmente sensibles por su impacto sobre el empleo de la ciudad, pero en general la pandemia ha afectado a toda la economía. La pandemia de la COVID-19 es una emergencia sanitaria y social mundial que requiere una acción efectiva e inmediata de los gobiernos, las personas y las empresas.</w:t>
      </w:r>
    </w:p>
    <w:p w:rsidR="002762C6" w:rsidRDefault="009E3DC4">
      <w:pPr>
        <w:spacing w:before="73"/>
        <w:jc w:val="both"/>
        <w:rPr>
          <w:sz w:val="20"/>
          <w:szCs w:val="20"/>
        </w:rPr>
      </w:pPr>
      <w:r>
        <w:rPr>
          <w:sz w:val="20"/>
          <w:szCs w:val="20"/>
        </w:rPr>
        <w:t>Que existe un bajo nivel de fortalecimiento empresarial para emprendedores y Mipymes en Bogotá.</w:t>
      </w:r>
    </w:p>
    <w:p w:rsidR="002762C6" w:rsidRDefault="009E3DC4">
      <w:pPr>
        <w:spacing w:before="73"/>
        <w:jc w:val="both"/>
        <w:rPr>
          <w:i/>
          <w:sz w:val="20"/>
          <w:szCs w:val="20"/>
        </w:rPr>
      </w:pPr>
      <w:r>
        <w:rPr>
          <w:sz w:val="20"/>
          <w:szCs w:val="20"/>
        </w:rPr>
        <w:t>Que en el Plan de Desarrollo Distrital 2020 – 2024 “Un Nuevo Contrato Social y Ambiental para la Bogotá del siglo XXI”, en su artículo 125 Inclusión y Educación Financiera se establece que “L</w:t>
      </w:r>
      <w:r>
        <w:rPr>
          <w:i/>
          <w:sz w:val="20"/>
          <w:szCs w:val="20"/>
        </w:rPr>
        <w:t>a Secretaría Distrital de Desarrollo Económico creará la estrategia distrital para la inclusión y educación financiera, con el fin de incluir una mayor cantidad de Bogotanos en el sistema financiero de manera responsable a través de instrumentos formales  y asequibles, mitigando los impactos derivados de los préstamos bajo la modalidad del ‘gota a gota’ entre otros”.</w:t>
      </w:r>
    </w:p>
    <w:p w:rsidR="002762C6" w:rsidRDefault="009E3DC4">
      <w:pPr>
        <w:spacing w:before="73"/>
        <w:jc w:val="both"/>
        <w:rPr>
          <w:i/>
          <w:sz w:val="20"/>
          <w:szCs w:val="20"/>
        </w:rPr>
      </w:pPr>
      <w:r>
        <w:rPr>
          <w:i/>
          <w:sz w:val="20"/>
          <w:szCs w:val="20"/>
        </w:rPr>
        <w:t xml:space="preserve">Que se requiere aumentar el acceso a financiamiento y a reducir los costos de financiamiento frente a las condiciones normales del mercado y generará conocimiento y destrezas para que los emprendimientos y Mipymes se desarrollen. </w:t>
      </w:r>
    </w:p>
    <w:p w:rsidR="00C01E4B" w:rsidRDefault="00C01E4B">
      <w:pPr>
        <w:spacing w:before="73"/>
        <w:jc w:val="both"/>
        <w:rPr>
          <w:sz w:val="20"/>
          <w:szCs w:val="20"/>
        </w:rPr>
      </w:pPr>
    </w:p>
    <w:p w:rsidR="00C01E4B" w:rsidRDefault="00C01E4B" w:rsidP="00C01E4B">
      <w:pPr>
        <w:pStyle w:val="Default"/>
        <w:jc w:val="both"/>
        <w:rPr>
          <w:rFonts w:ascii="Arial" w:hAnsi="Arial" w:cs="Arial"/>
          <w:i/>
          <w:color w:val="00000A"/>
          <w:sz w:val="20"/>
          <w:szCs w:val="20"/>
        </w:rPr>
      </w:pPr>
      <w:r w:rsidRPr="00780250">
        <w:rPr>
          <w:rFonts w:ascii="Arial" w:hAnsi="Arial" w:cs="Arial"/>
          <w:i/>
          <w:color w:val="00000A"/>
          <w:sz w:val="20"/>
          <w:szCs w:val="20"/>
        </w:rPr>
        <w:t xml:space="preserve">Que el PDD se estableció la meta trazadora No. 8 para cumplir el propósito </w:t>
      </w:r>
      <w:r w:rsidR="00780250" w:rsidRPr="00780250">
        <w:rPr>
          <w:rFonts w:ascii="Arial" w:hAnsi="Arial" w:cs="Arial"/>
          <w:i/>
          <w:color w:val="00000A"/>
          <w:sz w:val="20"/>
          <w:szCs w:val="20"/>
        </w:rPr>
        <w:t>No. 1:</w:t>
      </w:r>
      <w:r>
        <w:rPr>
          <w:rFonts w:ascii="Arial" w:hAnsi="Arial" w:cs="Arial"/>
          <w:i/>
          <w:color w:val="00000A"/>
          <w:sz w:val="20"/>
          <w:szCs w:val="20"/>
        </w:rPr>
        <w:t xml:space="preserve"> </w:t>
      </w:r>
      <w:r w:rsidRPr="00C01E4B">
        <w:rPr>
          <w:rFonts w:ascii="Arial" w:hAnsi="Arial" w:cs="Arial"/>
          <w:i/>
          <w:color w:val="00000A"/>
          <w:sz w:val="20"/>
          <w:szCs w:val="20"/>
        </w:rPr>
        <w:t xml:space="preserve">Apoyar a unidades productivas micro, pequeña y medianas como empresas, negocios, pequeños comercios, unidades productivas aglomeradas, y/o emprendimientos que permitan su acceso a mecanismos de financiación, programas de apropiación y/o fortalecimiento de nuevas tecnologías, promoción de la transformación digital, procesos de formalización y fortalecimiento productivo </w:t>
      </w:r>
    </w:p>
    <w:p w:rsidR="00C01E4B" w:rsidRDefault="00C01E4B" w:rsidP="00C01E4B">
      <w:pPr>
        <w:pStyle w:val="Default"/>
        <w:jc w:val="both"/>
        <w:rPr>
          <w:rFonts w:ascii="Arial" w:hAnsi="Arial" w:cs="Arial"/>
          <w:i/>
          <w:color w:val="00000A"/>
          <w:sz w:val="20"/>
          <w:szCs w:val="20"/>
        </w:rPr>
      </w:pPr>
    </w:p>
    <w:p w:rsidR="00780250" w:rsidRPr="00780250" w:rsidRDefault="00C01E4B" w:rsidP="00780250">
      <w:pPr>
        <w:pStyle w:val="Default"/>
        <w:jc w:val="both"/>
        <w:rPr>
          <w:rFonts w:ascii="Arial" w:hAnsi="Arial" w:cs="Arial"/>
          <w:sz w:val="20"/>
          <w:szCs w:val="20"/>
        </w:rPr>
      </w:pPr>
      <w:r w:rsidRPr="00780250">
        <w:rPr>
          <w:rFonts w:ascii="Arial" w:hAnsi="Arial" w:cs="Arial"/>
          <w:color w:val="00000A"/>
          <w:sz w:val="20"/>
          <w:szCs w:val="20"/>
        </w:rPr>
        <w:t xml:space="preserve">Que el PDD estableció </w:t>
      </w:r>
      <w:r w:rsidR="00780250" w:rsidRPr="00780250">
        <w:rPr>
          <w:rFonts w:ascii="Arial" w:hAnsi="Arial" w:cs="Arial"/>
          <w:color w:val="00000A"/>
          <w:sz w:val="20"/>
          <w:szCs w:val="20"/>
        </w:rPr>
        <w:t xml:space="preserve">como </w:t>
      </w:r>
      <w:r w:rsidRPr="00780250">
        <w:rPr>
          <w:rFonts w:ascii="Arial" w:hAnsi="Arial" w:cs="Arial"/>
          <w:color w:val="00000A"/>
          <w:sz w:val="20"/>
          <w:szCs w:val="20"/>
        </w:rPr>
        <w:t>meta estratégica N</w:t>
      </w:r>
      <w:r w:rsidR="00780250" w:rsidRPr="00780250">
        <w:rPr>
          <w:rFonts w:ascii="Arial" w:hAnsi="Arial" w:cs="Arial"/>
          <w:color w:val="00000A"/>
          <w:sz w:val="20"/>
          <w:szCs w:val="20"/>
        </w:rPr>
        <w:t xml:space="preserve">o. 43 la siguiente: </w:t>
      </w:r>
      <w:r w:rsidR="00780250" w:rsidRPr="00780250">
        <w:rPr>
          <w:rFonts w:ascii="Arial" w:hAnsi="Arial" w:cs="Arial"/>
          <w:sz w:val="20"/>
          <w:szCs w:val="20"/>
        </w:rPr>
        <w:t xml:space="preserve">Diseñar y poner en marcha uno o varios vehículos financieros para fondear al menos 73.900 unidades de MIPYIMES, negocios, emprendimientos, pequeños comercios, unidades productivas aglomeradas y/o emprendimientos por subsistencia, formales e informales, que permitan su liquidez y la conservación de los empleos o que </w:t>
      </w:r>
      <w:r w:rsidR="00780250" w:rsidRPr="00780250">
        <w:rPr>
          <w:rFonts w:ascii="Arial" w:hAnsi="Arial" w:cs="Arial"/>
          <w:sz w:val="20"/>
          <w:szCs w:val="20"/>
        </w:rPr>
        <w:lastRenderedPageBreak/>
        <w:t xml:space="preserve">ayude a crecer y consolidar sus negocios, disminuyendo la exposición a la tasa de mortalidad empresarial en el marco de la reactivación económica de la ciudad. Como mínimo, un 20% de la oferta será destinada a jóvenes. </w:t>
      </w:r>
    </w:p>
    <w:p w:rsidR="00780250" w:rsidRDefault="00780250" w:rsidP="00780250">
      <w:pPr>
        <w:pStyle w:val="Default"/>
        <w:jc w:val="both"/>
        <w:rPr>
          <w:sz w:val="16"/>
          <w:szCs w:val="16"/>
        </w:rPr>
      </w:pPr>
    </w:p>
    <w:p w:rsidR="002762C6" w:rsidRDefault="009E3DC4">
      <w:pPr>
        <w:spacing w:before="73"/>
        <w:jc w:val="both"/>
      </w:pPr>
      <w:r>
        <w:rPr>
          <w:sz w:val="20"/>
          <w:szCs w:val="20"/>
        </w:rPr>
        <w:t xml:space="preserve">Que la </w:t>
      </w:r>
      <w:r>
        <w:rPr>
          <w:b/>
          <w:color w:val="000000"/>
          <w:sz w:val="20"/>
          <w:szCs w:val="20"/>
        </w:rPr>
        <w:t xml:space="preserve">DIRECCIÓN DE DESARROLLO EMPRESARIAL Y EMPLEO </w:t>
      </w:r>
      <w:r>
        <w:rPr>
          <w:sz w:val="20"/>
          <w:szCs w:val="20"/>
        </w:rPr>
        <w:t xml:space="preserve"> formuló, en el marco del Plan de Desarrollo “Un Nuevo Contrato Social y Ambiental para la Bogotá del siglo XXI” el proyecto de Inversión 7874 denominado </w:t>
      </w:r>
      <w:r>
        <w:rPr>
          <w:i/>
          <w:sz w:val="20"/>
          <w:szCs w:val="20"/>
        </w:rPr>
        <w:t>“</w:t>
      </w:r>
      <w:r>
        <w:rPr>
          <w:sz w:val="20"/>
          <w:szCs w:val="20"/>
        </w:rPr>
        <w:t>Fortalecimiento del crecimiento empresarial en los emprendedores y las mipymes de Bogotá”, cuyo objetivo general es el de “Aumentar el nivel de fortalecimiento empresarial para emprendedores y Mipymes en Bogotá.”</w:t>
      </w:r>
    </w:p>
    <w:p w:rsidR="002762C6" w:rsidRDefault="002762C6">
      <w:pPr>
        <w:pBdr>
          <w:top w:val="nil"/>
          <w:left w:val="nil"/>
          <w:bottom w:val="nil"/>
          <w:right w:val="nil"/>
          <w:between w:val="nil"/>
        </w:pBdr>
        <w:ind w:left="102"/>
        <w:jc w:val="both"/>
        <w:rPr>
          <w:b/>
          <w:sz w:val="20"/>
          <w:szCs w:val="20"/>
        </w:rPr>
      </w:pPr>
      <w:bookmarkStart w:id="4" w:name="_3znysh7" w:colFirst="0" w:colLast="0"/>
      <w:bookmarkEnd w:id="4"/>
    </w:p>
    <w:p w:rsidR="00780250" w:rsidRDefault="00780250">
      <w:pPr>
        <w:pBdr>
          <w:top w:val="nil"/>
          <w:left w:val="nil"/>
          <w:bottom w:val="nil"/>
          <w:right w:val="nil"/>
          <w:between w:val="nil"/>
        </w:pBdr>
        <w:ind w:left="102"/>
        <w:jc w:val="both"/>
        <w:rPr>
          <w:b/>
          <w:sz w:val="20"/>
          <w:szCs w:val="20"/>
        </w:rPr>
      </w:pPr>
    </w:p>
    <w:p w:rsidR="002762C6" w:rsidRDefault="009E3DC4">
      <w:pPr>
        <w:numPr>
          <w:ilvl w:val="0"/>
          <w:numId w:val="3"/>
        </w:numPr>
        <w:pBdr>
          <w:top w:val="nil"/>
          <w:left w:val="nil"/>
          <w:bottom w:val="nil"/>
          <w:right w:val="nil"/>
          <w:between w:val="nil"/>
        </w:pBdr>
        <w:jc w:val="both"/>
        <w:rPr>
          <w:b/>
          <w:sz w:val="20"/>
          <w:szCs w:val="20"/>
        </w:rPr>
      </w:pPr>
      <w:r>
        <w:rPr>
          <w:b/>
          <w:i/>
          <w:sz w:val="24"/>
          <w:szCs w:val="24"/>
        </w:rPr>
        <w:t>OBJETO DE LA CONVOCATORIA</w:t>
      </w:r>
    </w:p>
    <w:p w:rsidR="002762C6" w:rsidRDefault="002762C6">
      <w:pPr>
        <w:pBdr>
          <w:top w:val="nil"/>
          <w:left w:val="nil"/>
          <w:bottom w:val="nil"/>
          <w:right w:val="nil"/>
          <w:between w:val="nil"/>
        </w:pBdr>
        <w:spacing w:before="2"/>
        <w:jc w:val="both"/>
        <w:rPr>
          <w:sz w:val="20"/>
          <w:szCs w:val="20"/>
        </w:rPr>
      </w:pPr>
    </w:p>
    <w:p w:rsidR="002762C6" w:rsidRPr="00780250" w:rsidRDefault="009E3DC4">
      <w:pPr>
        <w:pBdr>
          <w:top w:val="nil"/>
          <w:left w:val="nil"/>
          <w:bottom w:val="nil"/>
          <w:right w:val="nil"/>
          <w:between w:val="nil"/>
        </w:pBdr>
        <w:spacing w:before="1"/>
        <w:ind w:left="113"/>
        <w:jc w:val="both"/>
        <w:rPr>
          <w:sz w:val="20"/>
          <w:szCs w:val="20"/>
        </w:rPr>
      </w:pPr>
      <w:r>
        <w:rPr>
          <w:sz w:val="20"/>
          <w:szCs w:val="20"/>
        </w:rPr>
        <w:t xml:space="preserve">EI objeto de la presente convocatoria es </w:t>
      </w:r>
      <w:r w:rsidR="00780250">
        <w:rPr>
          <w:sz w:val="20"/>
          <w:szCs w:val="20"/>
        </w:rPr>
        <w:t xml:space="preserve">el de hacer una invitación a la ciudadanía del Distrito Capital de Bogotá con el fin de lograr un mayor </w:t>
      </w:r>
      <w:r>
        <w:rPr>
          <w:sz w:val="20"/>
          <w:szCs w:val="20"/>
        </w:rPr>
        <w:t xml:space="preserve">fortalecimiento de las capacidades y competencias de empresarios, emprendedores y a la población en general a través talleres de educación financiera sobre aspectos relacionados con el manejo financiero de unidades productivas y el manejo de las </w:t>
      </w:r>
      <w:r w:rsidRPr="00780250">
        <w:rPr>
          <w:sz w:val="20"/>
          <w:szCs w:val="20"/>
        </w:rPr>
        <w:t>finanzas personales y generar mayor inclusión a través del acceso a financiamiento</w:t>
      </w:r>
      <w:r w:rsidR="00780250" w:rsidRPr="00780250">
        <w:rPr>
          <w:sz w:val="20"/>
          <w:szCs w:val="20"/>
        </w:rPr>
        <w:t>,</w:t>
      </w:r>
      <w:r w:rsidRPr="00780250">
        <w:rPr>
          <w:sz w:val="20"/>
          <w:szCs w:val="20"/>
        </w:rPr>
        <w:t xml:space="preserve"> reduciendo los costos de financiamiento frente a las condiciones normales del mercado</w:t>
      </w:r>
      <w:r w:rsidR="00780250">
        <w:rPr>
          <w:sz w:val="20"/>
          <w:szCs w:val="20"/>
        </w:rPr>
        <w:t xml:space="preserve">. Lo anterior </w:t>
      </w:r>
      <w:r w:rsidR="00780250" w:rsidRPr="00780250">
        <w:rPr>
          <w:sz w:val="20"/>
          <w:szCs w:val="20"/>
        </w:rPr>
        <w:t xml:space="preserve"> de acuerdo con las siguientes metas del PDD:</w:t>
      </w:r>
    </w:p>
    <w:p w:rsidR="00780250" w:rsidRDefault="00780250">
      <w:pPr>
        <w:pBdr>
          <w:top w:val="nil"/>
          <w:left w:val="nil"/>
          <w:bottom w:val="nil"/>
          <w:right w:val="nil"/>
          <w:between w:val="nil"/>
        </w:pBdr>
        <w:spacing w:before="1"/>
        <w:ind w:left="113"/>
        <w:jc w:val="both"/>
        <w:rPr>
          <w:i/>
          <w:sz w:val="20"/>
          <w:szCs w:val="20"/>
        </w:rPr>
      </w:pPr>
    </w:p>
    <w:p w:rsidR="002762C6" w:rsidRDefault="009E3DC4">
      <w:pPr>
        <w:numPr>
          <w:ilvl w:val="0"/>
          <w:numId w:val="1"/>
        </w:numPr>
        <w:pBdr>
          <w:top w:val="nil"/>
          <w:left w:val="nil"/>
          <w:bottom w:val="nil"/>
          <w:right w:val="nil"/>
          <w:between w:val="nil"/>
        </w:pBdr>
        <w:spacing w:before="1"/>
        <w:jc w:val="both"/>
        <w:rPr>
          <w:i/>
          <w:sz w:val="20"/>
          <w:szCs w:val="20"/>
        </w:rPr>
      </w:pPr>
      <w:r>
        <w:rPr>
          <w:i/>
          <w:sz w:val="20"/>
          <w:szCs w:val="20"/>
        </w:rPr>
        <w:t xml:space="preserve">Apoyar financieramente a 73.900 unidades  de micro, pequeña o mediana empresa, negocios, pequeños comercios, unidades productivas aglomeradas y/o emprendimientos por subsistencia, que permitan su liquidez y la conservación de los empleos o que ayude a crecer y consolidar sus negocios, disminuyendo la exposición a la tasa de mortalidad empresarial en el marco de la reactivación económica de la ciudad </w:t>
      </w:r>
    </w:p>
    <w:p w:rsidR="00780250" w:rsidRPr="00780250" w:rsidRDefault="00780250" w:rsidP="00780250">
      <w:pPr>
        <w:pStyle w:val="Prrafodelista"/>
        <w:numPr>
          <w:ilvl w:val="0"/>
          <w:numId w:val="1"/>
        </w:numPr>
        <w:spacing w:before="73"/>
        <w:jc w:val="both"/>
        <w:rPr>
          <w:i/>
        </w:rPr>
      </w:pPr>
      <w:r w:rsidRPr="00780250">
        <w:rPr>
          <w:i/>
          <w:sz w:val="20"/>
          <w:szCs w:val="20"/>
        </w:rPr>
        <w:t>Desarrollar habilidades financieras y herramientas digitales para mejoras de procesos y comercio electrónico a al menos 72.900 empresarios y emprendedores, micro y pequeñas empresas, negocios, pequeños comercios y/o unidades productivas aglomeradas y/o emprendimientos por subsistencia formales e informales con especial énfasis en sectores afectados por la emergencia, mujeres y jóvenes, plazas de mercado distritales, atendiendo un enfoque de género, diferencial, territorial, de cultura ciudadana y de participación, teniendo en cuenta acciones afirmativas. Con un mínimo del 20% de la oferta será destinada a jóvenes</w:t>
      </w:r>
    </w:p>
    <w:p w:rsidR="00780250" w:rsidRDefault="00780250" w:rsidP="00780250">
      <w:pPr>
        <w:pBdr>
          <w:top w:val="nil"/>
          <w:left w:val="nil"/>
          <w:bottom w:val="nil"/>
          <w:right w:val="nil"/>
          <w:between w:val="nil"/>
        </w:pBdr>
        <w:spacing w:before="1"/>
        <w:ind w:left="720"/>
        <w:jc w:val="both"/>
        <w:rPr>
          <w:i/>
          <w:sz w:val="20"/>
          <w:szCs w:val="20"/>
        </w:rPr>
      </w:pPr>
    </w:p>
    <w:p w:rsidR="002762C6" w:rsidRDefault="002762C6">
      <w:pPr>
        <w:pBdr>
          <w:top w:val="nil"/>
          <w:left w:val="nil"/>
          <w:bottom w:val="nil"/>
          <w:right w:val="nil"/>
          <w:between w:val="nil"/>
        </w:pBdr>
        <w:spacing w:before="1"/>
        <w:ind w:left="113"/>
        <w:jc w:val="both"/>
        <w:rPr>
          <w:b/>
          <w:sz w:val="20"/>
          <w:szCs w:val="20"/>
        </w:rPr>
      </w:pPr>
    </w:p>
    <w:p w:rsidR="00780250" w:rsidRDefault="00780250">
      <w:pPr>
        <w:pBdr>
          <w:top w:val="nil"/>
          <w:left w:val="nil"/>
          <w:bottom w:val="nil"/>
          <w:right w:val="nil"/>
          <w:between w:val="nil"/>
        </w:pBdr>
        <w:spacing w:before="1"/>
        <w:ind w:left="113"/>
        <w:jc w:val="both"/>
        <w:rPr>
          <w:b/>
          <w:sz w:val="20"/>
          <w:szCs w:val="20"/>
        </w:rPr>
      </w:pPr>
    </w:p>
    <w:p w:rsidR="00780250" w:rsidRDefault="00780250">
      <w:pPr>
        <w:pBdr>
          <w:top w:val="nil"/>
          <w:left w:val="nil"/>
          <w:bottom w:val="nil"/>
          <w:right w:val="nil"/>
          <w:between w:val="nil"/>
        </w:pBdr>
        <w:spacing w:before="1"/>
        <w:ind w:left="113"/>
        <w:jc w:val="both"/>
        <w:rPr>
          <w:b/>
          <w:sz w:val="20"/>
          <w:szCs w:val="20"/>
        </w:rPr>
      </w:pPr>
    </w:p>
    <w:p w:rsidR="002762C6" w:rsidRDefault="009E3DC4">
      <w:pPr>
        <w:numPr>
          <w:ilvl w:val="0"/>
          <w:numId w:val="3"/>
        </w:numPr>
        <w:pBdr>
          <w:top w:val="nil"/>
          <w:left w:val="nil"/>
          <w:bottom w:val="nil"/>
          <w:right w:val="nil"/>
          <w:between w:val="nil"/>
        </w:pBdr>
        <w:jc w:val="both"/>
        <w:rPr>
          <w:b/>
        </w:rPr>
      </w:pPr>
      <w:r>
        <w:rPr>
          <w:b/>
          <w:i/>
          <w:sz w:val="24"/>
          <w:szCs w:val="24"/>
        </w:rPr>
        <w:t>FUNDAMENTOS JURÍDICOS</w:t>
      </w:r>
    </w:p>
    <w:p w:rsidR="002762C6" w:rsidRDefault="002762C6">
      <w:pPr>
        <w:pBdr>
          <w:top w:val="nil"/>
          <w:left w:val="nil"/>
          <w:bottom w:val="nil"/>
          <w:right w:val="nil"/>
          <w:between w:val="nil"/>
        </w:pBdr>
        <w:ind w:left="102"/>
        <w:jc w:val="both"/>
        <w:rPr>
          <w:b/>
          <w:sz w:val="20"/>
          <w:szCs w:val="20"/>
        </w:rPr>
      </w:pPr>
    </w:p>
    <w:p w:rsidR="002762C6" w:rsidRDefault="009E3DC4">
      <w:pPr>
        <w:shd w:val="clear" w:color="auto" w:fill="FFFFFF"/>
        <w:jc w:val="both"/>
        <w:rPr>
          <w:sz w:val="20"/>
          <w:szCs w:val="20"/>
        </w:rPr>
      </w:pPr>
      <w:r>
        <w:rPr>
          <w:sz w:val="20"/>
          <w:szCs w:val="20"/>
        </w:rPr>
        <w:t xml:space="preserve">La presente convocatoria se fundamenta en los lineamientos que deben cumplir, desarrollar y aplicar los diferentes órganos de la rama ejecutiva del Estado establecidos en la Ley 1712 de 2014, el </w:t>
      </w:r>
      <w:r>
        <w:rPr>
          <w:color w:val="221E1F"/>
          <w:sz w:val="20"/>
          <w:szCs w:val="20"/>
          <w:highlight w:val="white"/>
        </w:rPr>
        <w:t>Decreto 103 de 2015 y demás normas reglamentarias.</w:t>
      </w:r>
      <w:r>
        <w:rPr>
          <w:sz w:val="20"/>
          <w:szCs w:val="20"/>
        </w:rPr>
        <w:t xml:space="preserve"> </w:t>
      </w:r>
    </w:p>
    <w:p w:rsidR="002762C6" w:rsidRDefault="002762C6">
      <w:pPr>
        <w:shd w:val="clear" w:color="auto" w:fill="FFFFFF"/>
        <w:jc w:val="both"/>
        <w:rPr>
          <w:sz w:val="20"/>
          <w:szCs w:val="20"/>
        </w:rPr>
      </w:pPr>
    </w:p>
    <w:p w:rsidR="002762C6" w:rsidRDefault="002762C6">
      <w:pPr>
        <w:shd w:val="clear" w:color="auto" w:fill="FFFFFF"/>
        <w:jc w:val="both"/>
        <w:rPr>
          <w:color w:val="000000"/>
          <w:sz w:val="20"/>
          <w:szCs w:val="20"/>
        </w:rPr>
      </w:pPr>
    </w:p>
    <w:p w:rsidR="002762C6" w:rsidRDefault="009E3DC4">
      <w:pPr>
        <w:numPr>
          <w:ilvl w:val="0"/>
          <w:numId w:val="3"/>
        </w:numPr>
        <w:pBdr>
          <w:top w:val="nil"/>
          <w:left w:val="nil"/>
          <w:bottom w:val="nil"/>
          <w:right w:val="nil"/>
          <w:between w:val="nil"/>
        </w:pBdr>
        <w:jc w:val="both"/>
        <w:rPr>
          <w:b/>
          <w:sz w:val="20"/>
          <w:szCs w:val="20"/>
        </w:rPr>
      </w:pPr>
      <w:r>
        <w:rPr>
          <w:b/>
          <w:i/>
          <w:sz w:val="24"/>
          <w:szCs w:val="24"/>
        </w:rPr>
        <w:t>COBERTURA GEOGRÁFICA</w:t>
      </w:r>
    </w:p>
    <w:p w:rsidR="002762C6" w:rsidRDefault="002762C6">
      <w:pPr>
        <w:pBdr>
          <w:top w:val="nil"/>
          <w:left w:val="nil"/>
          <w:bottom w:val="nil"/>
          <w:right w:val="nil"/>
          <w:between w:val="nil"/>
        </w:pBdr>
        <w:spacing w:before="3"/>
        <w:jc w:val="both"/>
        <w:rPr>
          <w:sz w:val="20"/>
          <w:szCs w:val="20"/>
        </w:rPr>
      </w:pPr>
    </w:p>
    <w:p w:rsidR="002762C6" w:rsidRDefault="009E3DC4">
      <w:pPr>
        <w:pBdr>
          <w:top w:val="nil"/>
          <w:left w:val="nil"/>
          <w:bottom w:val="nil"/>
          <w:right w:val="nil"/>
          <w:between w:val="nil"/>
        </w:pBdr>
        <w:ind w:left="113"/>
        <w:jc w:val="both"/>
        <w:rPr>
          <w:sz w:val="20"/>
          <w:szCs w:val="20"/>
        </w:rPr>
      </w:pPr>
      <w:r>
        <w:rPr>
          <w:sz w:val="20"/>
          <w:szCs w:val="20"/>
        </w:rPr>
        <w:t>La cobertura geográfica de la convocatoria es el Distrito Capital de Bogotá toda su extensión urbana y rural, es decir, empresarios y emprendedores y población en general residenciadas en el Distrito Capital.</w:t>
      </w:r>
    </w:p>
    <w:p w:rsidR="002762C6" w:rsidRDefault="002762C6">
      <w:pPr>
        <w:pBdr>
          <w:top w:val="nil"/>
          <w:left w:val="nil"/>
          <w:bottom w:val="nil"/>
          <w:right w:val="nil"/>
          <w:between w:val="nil"/>
        </w:pBdr>
        <w:ind w:left="113"/>
        <w:jc w:val="both"/>
        <w:rPr>
          <w:sz w:val="20"/>
          <w:szCs w:val="20"/>
        </w:rPr>
      </w:pPr>
    </w:p>
    <w:p w:rsidR="002762C6" w:rsidRDefault="002762C6">
      <w:pPr>
        <w:pBdr>
          <w:top w:val="nil"/>
          <w:left w:val="nil"/>
          <w:bottom w:val="nil"/>
          <w:right w:val="nil"/>
          <w:between w:val="nil"/>
        </w:pBdr>
        <w:spacing w:before="9"/>
        <w:jc w:val="both"/>
        <w:rPr>
          <w:sz w:val="20"/>
          <w:szCs w:val="20"/>
        </w:rPr>
      </w:pPr>
      <w:bookmarkStart w:id="5" w:name="_3dy6vkm" w:colFirst="0" w:colLast="0"/>
      <w:bookmarkEnd w:id="5"/>
    </w:p>
    <w:p w:rsidR="002762C6" w:rsidRDefault="009E3DC4">
      <w:pPr>
        <w:numPr>
          <w:ilvl w:val="0"/>
          <w:numId w:val="3"/>
        </w:numPr>
        <w:pBdr>
          <w:top w:val="nil"/>
          <w:left w:val="nil"/>
          <w:bottom w:val="nil"/>
          <w:right w:val="nil"/>
          <w:between w:val="nil"/>
        </w:pBdr>
        <w:jc w:val="both"/>
        <w:rPr>
          <w:b/>
        </w:rPr>
      </w:pPr>
      <w:r>
        <w:rPr>
          <w:b/>
          <w:i/>
          <w:sz w:val="24"/>
          <w:szCs w:val="24"/>
        </w:rPr>
        <w:t>POBLACIÓN OBJETIVO</w:t>
      </w:r>
    </w:p>
    <w:p w:rsidR="002762C6" w:rsidRDefault="002762C6">
      <w:pPr>
        <w:pBdr>
          <w:top w:val="nil"/>
          <w:left w:val="nil"/>
          <w:bottom w:val="nil"/>
          <w:right w:val="nil"/>
          <w:between w:val="nil"/>
        </w:pBdr>
        <w:spacing w:before="2"/>
        <w:jc w:val="both"/>
        <w:rPr>
          <w:sz w:val="20"/>
          <w:szCs w:val="20"/>
        </w:rPr>
      </w:pPr>
    </w:p>
    <w:p w:rsidR="002762C6" w:rsidRDefault="009E3DC4">
      <w:pPr>
        <w:pBdr>
          <w:top w:val="nil"/>
          <w:left w:val="nil"/>
          <w:bottom w:val="nil"/>
          <w:right w:val="nil"/>
          <w:between w:val="nil"/>
        </w:pBdr>
        <w:spacing w:before="1"/>
        <w:ind w:left="113"/>
        <w:jc w:val="both"/>
      </w:pPr>
      <w:r>
        <w:rPr>
          <w:sz w:val="20"/>
          <w:szCs w:val="20"/>
        </w:rPr>
        <w:t>Podrán participar personas naturales y jurídicas de todos los sectores productivos de bienes, servicios  y de comercio ubicadas en el Distrito Capital de Bogotá.</w:t>
      </w:r>
    </w:p>
    <w:p w:rsidR="002762C6" w:rsidRDefault="002762C6">
      <w:pPr>
        <w:pBdr>
          <w:top w:val="nil"/>
          <w:left w:val="nil"/>
          <w:bottom w:val="nil"/>
          <w:right w:val="nil"/>
          <w:between w:val="nil"/>
        </w:pBdr>
        <w:spacing w:before="1"/>
        <w:ind w:left="113"/>
        <w:jc w:val="both"/>
        <w:rPr>
          <w:sz w:val="20"/>
          <w:szCs w:val="20"/>
        </w:rPr>
      </w:pPr>
    </w:p>
    <w:p w:rsidR="002762C6" w:rsidRDefault="009E3DC4">
      <w:pPr>
        <w:pBdr>
          <w:top w:val="nil"/>
          <w:left w:val="nil"/>
          <w:bottom w:val="nil"/>
          <w:right w:val="nil"/>
          <w:between w:val="nil"/>
        </w:pBdr>
        <w:spacing w:before="1"/>
        <w:ind w:left="113"/>
        <w:jc w:val="both"/>
      </w:pPr>
      <w:r>
        <w:rPr>
          <w:sz w:val="20"/>
          <w:szCs w:val="20"/>
        </w:rPr>
        <w:t>Los ciudadanos que apliquen a los beneficios deberán diligenciar el formato de caracterización SUIM de la Secretaría Distrital de Desarrollo Económico.</w:t>
      </w:r>
    </w:p>
    <w:p w:rsidR="002762C6" w:rsidRDefault="002762C6">
      <w:pPr>
        <w:pBdr>
          <w:top w:val="nil"/>
          <w:left w:val="nil"/>
          <w:bottom w:val="nil"/>
          <w:right w:val="nil"/>
          <w:between w:val="nil"/>
        </w:pBdr>
        <w:tabs>
          <w:tab w:val="left" w:pos="810"/>
        </w:tabs>
        <w:ind w:left="822"/>
        <w:jc w:val="both"/>
        <w:rPr>
          <w:sz w:val="20"/>
          <w:szCs w:val="20"/>
        </w:rPr>
      </w:pPr>
      <w:bookmarkStart w:id="6" w:name="_1t3h5sf" w:colFirst="0" w:colLast="0"/>
      <w:bookmarkEnd w:id="6"/>
    </w:p>
    <w:p w:rsidR="002762C6" w:rsidRDefault="009E3DC4">
      <w:pPr>
        <w:numPr>
          <w:ilvl w:val="0"/>
          <w:numId w:val="3"/>
        </w:numPr>
        <w:pBdr>
          <w:top w:val="nil"/>
          <w:left w:val="nil"/>
          <w:bottom w:val="nil"/>
          <w:right w:val="nil"/>
          <w:between w:val="nil"/>
        </w:pBdr>
        <w:jc w:val="both"/>
        <w:rPr>
          <w:b/>
        </w:rPr>
      </w:pPr>
      <w:r>
        <w:rPr>
          <w:b/>
          <w:i/>
          <w:sz w:val="24"/>
          <w:szCs w:val="24"/>
        </w:rPr>
        <w:t>TALLERES SEMANALES</w:t>
      </w:r>
    </w:p>
    <w:p w:rsidR="002762C6" w:rsidRPr="00780250" w:rsidRDefault="009E3DC4">
      <w:pPr>
        <w:pBdr>
          <w:top w:val="nil"/>
          <w:left w:val="nil"/>
          <w:bottom w:val="nil"/>
          <w:right w:val="nil"/>
          <w:between w:val="nil"/>
        </w:pBdr>
        <w:jc w:val="both"/>
      </w:pPr>
      <w:r w:rsidRPr="00780250">
        <w:rPr>
          <w:sz w:val="20"/>
          <w:szCs w:val="20"/>
        </w:rPr>
        <w:t>Para el logro del objetivo, la Subdirección de Financiamiento e Inclusión Financiera ha establecido un programa de talleres semanales en forma presencial y/o virtual que se realizan presencialmente en la sede de la Secretaría Distrital de Desarrollo Económico todos los martes a partir de las 9:00 a.m. en el salón Kogui de la Plaza de los Artesanos ubicada en la Carrera 60 No. 63A – 52.y virtualmente a través de plataformas digitales las cuales se informará a la comunidad oportunamente. La Subdirección de Financiamiento podrá modificar el horario y lugar de las capacitaciones financieras.</w:t>
      </w:r>
    </w:p>
    <w:p w:rsidR="002762C6" w:rsidRPr="00780250" w:rsidRDefault="002762C6">
      <w:pPr>
        <w:pBdr>
          <w:top w:val="nil"/>
          <w:left w:val="nil"/>
          <w:bottom w:val="nil"/>
          <w:right w:val="nil"/>
          <w:between w:val="nil"/>
        </w:pBdr>
        <w:jc w:val="both"/>
        <w:rPr>
          <w:sz w:val="20"/>
          <w:szCs w:val="20"/>
        </w:rPr>
      </w:pPr>
    </w:p>
    <w:p w:rsidR="002762C6" w:rsidRPr="00780250" w:rsidRDefault="009E3DC4">
      <w:pPr>
        <w:pBdr>
          <w:top w:val="nil"/>
          <w:left w:val="nil"/>
          <w:bottom w:val="nil"/>
          <w:right w:val="nil"/>
          <w:between w:val="nil"/>
        </w:pBdr>
        <w:jc w:val="both"/>
        <w:rPr>
          <w:sz w:val="20"/>
          <w:szCs w:val="20"/>
        </w:rPr>
      </w:pPr>
      <w:r w:rsidRPr="00780250">
        <w:rPr>
          <w:sz w:val="20"/>
          <w:szCs w:val="20"/>
        </w:rPr>
        <w:t>La duración del taller de capacitación es de 2 horas y no tiene ningún costo para el beneficiario.</w:t>
      </w:r>
    </w:p>
    <w:p w:rsidR="002762C6" w:rsidRDefault="002762C6">
      <w:pPr>
        <w:pBdr>
          <w:top w:val="nil"/>
          <w:left w:val="nil"/>
          <w:bottom w:val="nil"/>
          <w:right w:val="nil"/>
          <w:between w:val="nil"/>
        </w:pBdr>
        <w:jc w:val="both"/>
        <w:rPr>
          <w:i/>
          <w:sz w:val="20"/>
          <w:szCs w:val="20"/>
        </w:rPr>
      </w:pPr>
    </w:p>
    <w:p w:rsidR="002762C6" w:rsidRDefault="009E3DC4">
      <w:pPr>
        <w:numPr>
          <w:ilvl w:val="0"/>
          <w:numId w:val="3"/>
        </w:numPr>
        <w:jc w:val="both"/>
        <w:rPr>
          <w:b/>
        </w:rPr>
      </w:pPr>
      <w:r>
        <w:rPr>
          <w:b/>
          <w:i/>
          <w:sz w:val="24"/>
          <w:szCs w:val="24"/>
        </w:rPr>
        <w:t>CAPACITACIONES GRUPALES</w:t>
      </w:r>
    </w:p>
    <w:p w:rsidR="002762C6" w:rsidRPr="00780250" w:rsidRDefault="009E3DC4">
      <w:pPr>
        <w:jc w:val="both"/>
      </w:pPr>
      <w:r w:rsidRPr="00780250">
        <w:rPr>
          <w:sz w:val="20"/>
          <w:szCs w:val="20"/>
        </w:rPr>
        <w:t>A solicitud de gremios, autoridades locales, asociaciones de empresarios, la Secretaría Distrital de Desarrollo Económico podrá programar la realización de talleres de educación financiera dirigidos a grupos específicos reajustando la temática a desarrollar según las necesidades y objetivos propuestos.</w:t>
      </w:r>
    </w:p>
    <w:p w:rsidR="002762C6" w:rsidRDefault="002762C6">
      <w:pPr>
        <w:pBdr>
          <w:top w:val="nil"/>
          <w:left w:val="nil"/>
          <w:bottom w:val="nil"/>
          <w:right w:val="nil"/>
          <w:between w:val="nil"/>
        </w:pBdr>
        <w:jc w:val="both"/>
        <w:rPr>
          <w:b/>
          <w:i/>
          <w:sz w:val="24"/>
          <w:szCs w:val="24"/>
        </w:rPr>
      </w:pPr>
    </w:p>
    <w:p w:rsidR="002762C6" w:rsidRPr="009E3DC4" w:rsidRDefault="009E3DC4">
      <w:pPr>
        <w:numPr>
          <w:ilvl w:val="0"/>
          <w:numId w:val="3"/>
        </w:numPr>
        <w:jc w:val="both"/>
        <w:rPr>
          <w:b/>
          <w:i/>
        </w:rPr>
      </w:pPr>
      <w:r w:rsidRPr="009E3DC4">
        <w:rPr>
          <w:b/>
          <w:i/>
          <w:sz w:val="24"/>
          <w:szCs w:val="24"/>
        </w:rPr>
        <w:t>APOYO AL FINANCIAMIENTO</w:t>
      </w:r>
    </w:p>
    <w:p w:rsidR="002762C6" w:rsidRPr="009E3DC4" w:rsidRDefault="009E3DC4">
      <w:pPr>
        <w:pBdr>
          <w:top w:val="nil"/>
          <w:left w:val="nil"/>
          <w:bottom w:val="nil"/>
          <w:right w:val="nil"/>
          <w:between w:val="nil"/>
        </w:pBdr>
        <w:jc w:val="both"/>
        <w:rPr>
          <w:sz w:val="20"/>
          <w:szCs w:val="20"/>
        </w:rPr>
      </w:pPr>
      <w:r w:rsidRPr="009E3DC4">
        <w:rPr>
          <w:sz w:val="20"/>
          <w:szCs w:val="20"/>
        </w:rPr>
        <w:t>Teniendo en cuenta que la Secretaría Distrital de Desarrollo Económico implementará diferentes mecanismos y vehículos para facilitar el acceso al financiamiento de proyectos productivos a través de alianzas y convenios interadministrativos o de asociación, la presente convocatoria incluye las actuales e incluirá durante el término de su vigencia todas las estrategias que se implementen para el financiamiento de las unidades productivas de Bogotá, por lo cual se invita a la ciudadanía a revisar periódicamente la página web de la entidad o a comunicarse a través de sus canales de atención a la ciudadanía; con el fin de informarse respecto de los vehículos de apoyo al financiamiento vigentes al momento de la solicitud.</w:t>
      </w:r>
    </w:p>
    <w:p w:rsidR="002762C6" w:rsidRDefault="002762C6">
      <w:pPr>
        <w:pBdr>
          <w:top w:val="nil"/>
          <w:left w:val="nil"/>
          <w:bottom w:val="nil"/>
          <w:right w:val="nil"/>
          <w:between w:val="nil"/>
        </w:pBdr>
        <w:jc w:val="both"/>
        <w:rPr>
          <w:i/>
          <w:sz w:val="20"/>
          <w:szCs w:val="20"/>
        </w:rPr>
      </w:pPr>
    </w:p>
    <w:p w:rsidR="002762C6" w:rsidRDefault="009E3DC4" w:rsidP="009E3DC4">
      <w:pPr>
        <w:pBdr>
          <w:top w:val="nil"/>
          <w:left w:val="nil"/>
          <w:bottom w:val="nil"/>
          <w:right w:val="nil"/>
          <w:between w:val="nil"/>
        </w:pBdr>
        <w:jc w:val="both"/>
        <w:rPr>
          <w:i/>
          <w:sz w:val="20"/>
          <w:szCs w:val="20"/>
        </w:rPr>
      </w:pPr>
      <w:r>
        <w:rPr>
          <w:sz w:val="20"/>
          <w:szCs w:val="20"/>
        </w:rPr>
        <w:t>A la fecha de expedición de</w:t>
      </w:r>
      <w:r w:rsidRPr="009E3DC4">
        <w:rPr>
          <w:sz w:val="20"/>
          <w:szCs w:val="20"/>
        </w:rPr>
        <w:t xml:space="preserve"> la presente convocatoria</w:t>
      </w:r>
      <w:r>
        <w:rPr>
          <w:sz w:val="20"/>
          <w:szCs w:val="20"/>
        </w:rPr>
        <w:t>,</w:t>
      </w:r>
      <w:r w:rsidRPr="009E3DC4">
        <w:rPr>
          <w:sz w:val="20"/>
          <w:szCs w:val="20"/>
        </w:rPr>
        <w:t xml:space="preserve"> se encuentra en ejecución el Convenio 183-2020 suscrito entre Bancóldex, para</w:t>
      </w:r>
      <w:r w:rsidRPr="009E3DC4">
        <w:rPr>
          <w:color w:val="000000"/>
          <w:sz w:val="20"/>
          <w:szCs w:val="20"/>
        </w:rPr>
        <w:t xml:space="preserve"> este efecto se ha establecido la línea Bogotá Responde cuyas características generales pueden ser consultadas en la página web de Bancó</w:t>
      </w:r>
      <w:r>
        <w:rPr>
          <w:color w:val="000000"/>
          <w:sz w:val="20"/>
          <w:szCs w:val="20"/>
        </w:rPr>
        <w:t>ldex así como en la página web de esta Secretaría publicada a través de la Convocatoria No.27.</w:t>
      </w:r>
      <w:r>
        <w:rPr>
          <w:i/>
          <w:sz w:val="20"/>
          <w:szCs w:val="20"/>
        </w:rPr>
        <w:t xml:space="preserve"> </w:t>
      </w:r>
    </w:p>
    <w:p w:rsidR="002762C6" w:rsidRDefault="002762C6">
      <w:pPr>
        <w:pBdr>
          <w:top w:val="nil"/>
          <w:left w:val="nil"/>
          <w:bottom w:val="nil"/>
          <w:right w:val="nil"/>
          <w:between w:val="nil"/>
        </w:pBdr>
        <w:jc w:val="both"/>
        <w:rPr>
          <w:i/>
          <w:sz w:val="20"/>
          <w:szCs w:val="20"/>
        </w:rPr>
      </w:pPr>
    </w:p>
    <w:p w:rsidR="002762C6" w:rsidRDefault="002762C6">
      <w:pPr>
        <w:pBdr>
          <w:top w:val="nil"/>
          <w:left w:val="nil"/>
          <w:bottom w:val="nil"/>
          <w:right w:val="nil"/>
          <w:between w:val="nil"/>
        </w:pBdr>
        <w:jc w:val="both"/>
        <w:rPr>
          <w:i/>
          <w:sz w:val="20"/>
          <w:szCs w:val="20"/>
        </w:rPr>
      </w:pPr>
    </w:p>
    <w:p w:rsidR="002762C6" w:rsidRDefault="009E3DC4">
      <w:pPr>
        <w:numPr>
          <w:ilvl w:val="0"/>
          <w:numId w:val="3"/>
        </w:numPr>
        <w:pBdr>
          <w:top w:val="nil"/>
          <w:left w:val="nil"/>
          <w:bottom w:val="nil"/>
          <w:right w:val="nil"/>
          <w:between w:val="nil"/>
        </w:pBdr>
        <w:jc w:val="both"/>
        <w:rPr>
          <w:b/>
          <w:i/>
        </w:rPr>
      </w:pPr>
      <w:r>
        <w:rPr>
          <w:b/>
          <w:i/>
          <w:sz w:val="24"/>
          <w:szCs w:val="24"/>
        </w:rPr>
        <w:t>APOYOS INTERINSTITUCIONALES</w:t>
      </w:r>
    </w:p>
    <w:p w:rsidR="002762C6" w:rsidRDefault="009E3DC4">
      <w:pPr>
        <w:pBdr>
          <w:top w:val="nil"/>
          <w:left w:val="nil"/>
          <w:bottom w:val="nil"/>
          <w:right w:val="nil"/>
          <w:between w:val="nil"/>
        </w:pBdr>
        <w:jc w:val="both"/>
      </w:pPr>
      <w:r>
        <w:rPr>
          <w:sz w:val="20"/>
          <w:szCs w:val="20"/>
        </w:rPr>
        <w:t xml:space="preserve">La Secretaría Distrital de Desarrollo Económico podrá coordinar con entidades afines en el propósito de la educación financiera de la población, el desarrollo de cursos y talleres sobre temas de finanzas personales, gestión financiera de empresas, estados financieros, estructura del sistema financiero colombiano, productos financieros, derechos de consumidor financiero, alistamiento financiero para solicitudes de financiamiento, aspectos tributarios de empresas, etc. </w:t>
      </w:r>
    </w:p>
    <w:p w:rsidR="002762C6" w:rsidRDefault="002762C6">
      <w:pPr>
        <w:pBdr>
          <w:top w:val="nil"/>
          <w:left w:val="nil"/>
          <w:bottom w:val="nil"/>
          <w:right w:val="nil"/>
          <w:between w:val="nil"/>
        </w:pBdr>
        <w:jc w:val="both"/>
        <w:rPr>
          <w:sz w:val="20"/>
          <w:szCs w:val="20"/>
        </w:rPr>
      </w:pPr>
    </w:p>
    <w:p w:rsidR="002762C6" w:rsidRDefault="009E3DC4">
      <w:pPr>
        <w:pBdr>
          <w:top w:val="nil"/>
          <w:left w:val="nil"/>
          <w:bottom w:val="nil"/>
          <w:right w:val="nil"/>
          <w:between w:val="nil"/>
        </w:pBdr>
        <w:jc w:val="both"/>
      </w:pPr>
      <w:r>
        <w:rPr>
          <w:sz w:val="20"/>
          <w:szCs w:val="20"/>
        </w:rPr>
        <w:t xml:space="preserve">Dicha coordinación podrá realizarse con entidades educativas universitarias, Superintendencia Financiera de Colombia, Cámara de Comercio de Bogotá, Servicio Nacional de Aprendizaje – SENA, </w:t>
      </w:r>
      <w:r>
        <w:rPr>
          <w:sz w:val="20"/>
          <w:szCs w:val="20"/>
        </w:rPr>
        <w:lastRenderedPageBreak/>
        <w:t>universidades públicas y privadas, entidades financieras, gremios financieros como son Asobancaria y ANIF, Entidades administradoras de información financiera, etc.</w:t>
      </w:r>
    </w:p>
    <w:p w:rsidR="002762C6" w:rsidRDefault="002762C6">
      <w:pPr>
        <w:pBdr>
          <w:top w:val="nil"/>
          <w:left w:val="nil"/>
          <w:bottom w:val="nil"/>
          <w:right w:val="nil"/>
          <w:between w:val="nil"/>
        </w:pBdr>
        <w:rPr>
          <w:sz w:val="20"/>
          <w:szCs w:val="20"/>
        </w:rPr>
      </w:pPr>
      <w:bookmarkStart w:id="7" w:name="_3rdcrjn" w:colFirst="0" w:colLast="0"/>
      <w:bookmarkEnd w:id="7"/>
    </w:p>
    <w:p w:rsidR="002762C6" w:rsidRDefault="009E3DC4">
      <w:pPr>
        <w:numPr>
          <w:ilvl w:val="0"/>
          <w:numId w:val="3"/>
        </w:numPr>
        <w:pBdr>
          <w:top w:val="nil"/>
          <w:left w:val="nil"/>
          <w:bottom w:val="nil"/>
          <w:right w:val="nil"/>
          <w:between w:val="nil"/>
        </w:pBdr>
        <w:jc w:val="both"/>
        <w:rPr>
          <w:b/>
          <w:i/>
          <w:sz w:val="20"/>
          <w:szCs w:val="20"/>
        </w:rPr>
      </w:pPr>
      <w:r>
        <w:rPr>
          <w:b/>
          <w:i/>
          <w:sz w:val="24"/>
          <w:szCs w:val="24"/>
        </w:rPr>
        <w:t>DIVULGACIÓN</w:t>
      </w:r>
    </w:p>
    <w:p w:rsidR="002762C6" w:rsidRDefault="009E3DC4">
      <w:pPr>
        <w:pBdr>
          <w:top w:val="nil"/>
          <w:left w:val="nil"/>
          <w:bottom w:val="nil"/>
          <w:right w:val="nil"/>
          <w:between w:val="nil"/>
        </w:pBdr>
        <w:spacing w:before="1"/>
        <w:ind w:left="113"/>
        <w:jc w:val="both"/>
      </w:pPr>
      <w:r>
        <w:rPr>
          <w:sz w:val="20"/>
          <w:szCs w:val="20"/>
        </w:rPr>
        <w:t xml:space="preserve">Las condiciones de la convocatoria y su inscripción y participación no tendrán ningún costo y estarán publicados en la página web de la entidad </w:t>
      </w:r>
      <w:hyperlink r:id="rId7">
        <w:r>
          <w:rPr>
            <w:color w:val="0000FF"/>
            <w:sz w:val="20"/>
            <w:szCs w:val="20"/>
          </w:rPr>
          <w:t>www.desarrolloeconomico.gov.co</w:t>
        </w:r>
      </w:hyperlink>
    </w:p>
    <w:p w:rsidR="002762C6" w:rsidRDefault="002762C6">
      <w:pPr>
        <w:pBdr>
          <w:top w:val="nil"/>
          <w:left w:val="nil"/>
          <w:bottom w:val="nil"/>
          <w:right w:val="nil"/>
          <w:between w:val="nil"/>
        </w:pBdr>
        <w:spacing w:before="1"/>
        <w:ind w:left="113"/>
        <w:jc w:val="both"/>
        <w:rPr>
          <w:sz w:val="20"/>
          <w:szCs w:val="20"/>
        </w:rPr>
      </w:pPr>
    </w:p>
    <w:p w:rsidR="002762C6" w:rsidRDefault="009E3DC4">
      <w:pPr>
        <w:pBdr>
          <w:top w:val="nil"/>
          <w:left w:val="nil"/>
          <w:bottom w:val="nil"/>
          <w:right w:val="nil"/>
          <w:between w:val="nil"/>
        </w:pBdr>
        <w:spacing w:before="1"/>
        <w:ind w:left="113"/>
        <w:jc w:val="both"/>
      </w:pPr>
      <w:r>
        <w:rPr>
          <w:sz w:val="20"/>
          <w:szCs w:val="20"/>
        </w:rPr>
        <w:t>La Secretaría Distrital de Desarrollo Económico, a través de la Subdirección de Financiamiento e Inclusión Financiera, la Dirección de Desarrollo Empresarial y Empleo, la Subsecretaría y el Despacho, realizarán igualmente actividades y campañas de divulgación a través de los medios y canales de comunicación que se determinen pertinentes como por ejemplo: en conjunto con los Centros Locales de Atención de Víctimas, Secretaría Distrital de la Mujer, Casas locales de la Igualdad Mujer y Género, los Resguardos y Cabildos Indígenas y agrupaciones de la población vulnerable así como por intermedio de autoridades locales como las Juntas Administradoras Locales y las alcaldías locales, según el caso.</w:t>
      </w:r>
    </w:p>
    <w:p w:rsidR="002762C6" w:rsidRDefault="002762C6">
      <w:pPr>
        <w:pBdr>
          <w:top w:val="nil"/>
          <w:left w:val="nil"/>
          <w:bottom w:val="nil"/>
          <w:right w:val="nil"/>
          <w:between w:val="nil"/>
        </w:pBdr>
        <w:spacing w:before="1"/>
        <w:ind w:left="113"/>
        <w:jc w:val="both"/>
        <w:rPr>
          <w:sz w:val="20"/>
          <w:szCs w:val="20"/>
        </w:rPr>
      </w:pPr>
      <w:bookmarkStart w:id="8" w:name="_26in1rg" w:colFirst="0" w:colLast="0"/>
      <w:bookmarkEnd w:id="8"/>
    </w:p>
    <w:p w:rsidR="002762C6" w:rsidRDefault="009E3DC4">
      <w:pPr>
        <w:numPr>
          <w:ilvl w:val="0"/>
          <w:numId w:val="3"/>
        </w:numPr>
        <w:pBdr>
          <w:top w:val="nil"/>
          <w:left w:val="nil"/>
          <w:bottom w:val="nil"/>
          <w:right w:val="nil"/>
          <w:between w:val="nil"/>
        </w:pBdr>
        <w:jc w:val="both"/>
        <w:rPr>
          <w:b/>
        </w:rPr>
      </w:pPr>
      <w:r>
        <w:rPr>
          <w:b/>
          <w:i/>
          <w:sz w:val="24"/>
          <w:szCs w:val="24"/>
        </w:rPr>
        <w:t>REGISTRO</w:t>
      </w:r>
      <w:r>
        <w:rPr>
          <w:b/>
        </w:rPr>
        <w:tab/>
      </w:r>
    </w:p>
    <w:p w:rsidR="002762C6" w:rsidRDefault="009E3DC4">
      <w:pPr>
        <w:pBdr>
          <w:top w:val="nil"/>
          <w:left w:val="nil"/>
          <w:bottom w:val="nil"/>
          <w:right w:val="nil"/>
          <w:between w:val="nil"/>
        </w:pBdr>
        <w:jc w:val="both"/>
      </w:pPr>
      <w:r>
        <w:rPr>
          <w:sz w:val="20"/>
          <w:szCs w:val="20"/>
        </w:rPr>
        <w:t xml:space="preserve">Los potenciales beneficiarios de esta convocatoria deberán registrar su participación en el formato SUIM elaborado para tal fin. </w:t>
      </w:r>
    </w:p>
    <w:p w:rsidR="002762C6" w:rsidRDefault="002762C6">
      <w:pPr>
        <w:pBdr>
          <w:top w:val="nil"/>
          <w:left w:val="nil"/>
          <w:bottom w:val="nil"/>
          <w:right w:val="nil"/>
          <w:between w:val="nil"/>
        </w:pBdr>
        <w:jc w:val="both"/>
        <w:rPr>
          <w:sz w:val="20"/>
          <w:szCs w:val="20"/>
        </w:rPr>
      </w:pPr>
      <w:bookmarkStart w:id="9" w:name="_lnxbz9" w:colFirst="0" w:colLast="0"/>
      <w:bookmarkEnd w:id="9"/>
    </w:p>
    <w:p w:rsidR="002762C6" w:rsidRDefault="009E3DC4">
      <w:pPr>
        <w:numPr>
          <w:ilvl w:val="0"/>
          <w:numId w:val="3"/>
        </w:numPr>
        <w:pBdr>
          <w:top w:val="nil"/>
          <w:left w:val="nil"/>
          <w:bottom w:val="nil"/>
          <w:right w:val="nil"/>
          <w:between w:val="nil"/>
        </w:pBdr>
        <w:jc w:val="both"/>
        <w:rPr>
          <w:b/>
        </w:rPr>
      </w:pPr>
      <w:r>
        <w:rPr>
          <w:b/>
          <w:i/>
          <w:sz w:val="24"/>
          <w:szCs w:val="24"/>
        </w:rPr>
        <w:t xml:space="preserve"> APERTURA DE LA CONVOCATORIA</w:t>
      </w:r>
    </w:p>
    <w:p w:rsidR="002762C6" w:rsidRDefault="009E3DC4">
      <w:pPr>
        <w:pBdr>
          <w:top w:val="nil"/>
          <w:left w:val="nil"/>
          <w:bottom w:val="nil"/>
          <w:right w:val="nil"/>
          <w:between w:val="nil"/>
        </w:pBdr>
        <w:ind w:left="113"/>
        <w:jc w:val="both"/>
      </w:pPr>
      <w:r>
        <w:rPr>
          <w:sz w:val="20"/>
          <w:szCs w:val="20"/>
        </w:rPr>
        <w:t>La presente convocatoria tendrá apertura por parte de la Secretaria Distrital de Desarrollo Económico el día 1 de julio de 2020 a las 8:00 horas.</w:t>
      </w:r>
    </w:p>
    <w:p w:rsidR="002762C6" w:rsidRDefault="002762C6">
      <w:pPr>
        <w:pBdr>
          <w:top w:val="nil"/>
          <w:left w:val="nil"/>
          <w:bottom w:val="nil"/>
          <w:right w:val="nil"/>
          <w:between w:val="nil"/>
        </w:pBdr>
        <w:ind w:left="113"/>
        <w:jc w:val="both"/>
        <w:rPr>
          <w:sz w:val="20"/>
          <w:szCs w:val="20"/>
        </w:rPr>
      </w:pPr>
      <w:bookmarkStart w:id="10" w:name="_35nkun2" w:colFirst="0" w:colLast="0"/>
      <w:bookmarkEnd w:id="10"/>
    </w:p>
    <w:p w:rsidR="002762C6" w:rsidRDefault="009E3DC4">
      <w:pPr>
        <w:numPr>
          <w:ilvl w:val="0"/>
          <w:numId w:val="3"/>
        </w:numPr>
        <w:pBdr>
          <w:top w:val="nil"/>
          <w:left w:val="nil"/>
          <w:bottom w:val="nil"/>
          <w:right w:val="nil"/>
          <w:between w:val="nil"/>
        </w:pBdr>
        <w:jc w:val="both"/>
        <w:rPr>
          <w:b/>
          <w:sz w:val="20"/>
          <w:szCs w:val="20"/>
        </w:rPr>
      </w:pPr>
      <w:bookmarkStart w:id="11" w:name="_1ksv4uv" w:colFirst="0" w:colLast="0"/>
      <w:bookmarkEnd w:id="11"/>
      <w:r>
        <w:rPr>
          <w:b/>
          <w:i/>
          <w:sz w:val="24"/>
          <w:szCs w:val="24"/>
        </w:rPr>
        <w:t xml:space="preserve"> CIERRE DE LA CONVOCATORIA</w:t>
      </w:r>
      <w:r>
        <w:rPr>
          <w:b/>
        </w:rPr>
        <w:tab/>
      </w:r>
    </w:p>
    <w:p w:rsidR="002762C6" w:rsidRDefault="009E3DC4">
      <w:pPr>
        <w:pBdr>
          <w:top w:val="nil"/>
          <w:left w:val="nil"/>
          <w:bottom w:val="nil"/>
          <w:right w:val="nil"/>
          <w:between w:val="nil"/>
        </w:pBdr>
        <w:spacing w:before="1"/>
        <w:ind w:left="113"/>
        <w:jc w:val="both"/>
      </w:pPr>
      <w:r>
        <w:rPr>
          <w:sz w:val="20"/>
          <w:szCs w:val="20"/>
        </w:rPr>
        <w:t>La convocatoria se cerrará el día 31 de diciembre de 2020 a las 4:00 p.m.</w:t>
      </w:r>
    </w:p>
    <w:p w:rsidR="002762C6" w:rsidRDefault="002762C6">
      <w:pPr>
        <w:pBdr>
          <w:top w:val="nil"/>
          <w:left w:val="nil"/>
          <w:bottom w:val="nil"/>
          <w:right w:val="nil"/>
          <w:between w:val="nil"/>
        </w:pBdr>
        <w:spacing w:before="1"/>
        <w:ind w:left="113"/>
        <w:jc w:val="both"/>
        <w:rPr>
          <w:sz w:val="20"/>
          <w:szCs w:val="20"/>
        </w:rPr>
      </w:pPr>
    </w:p>
    <w:p w:rsidR="002762C6" w:rsidRDefault="009E3DC4">
      <w:pPr>
        <w:pBdr>
          <w:top w:val="nil"/>
          <w:left w:val="nil"/>
          <w:bottom w:val="nil"/>
          <w:right w:val="nil"/>
          <w:between w:val="nil"/>
        </w:pBdr>
        <w:tabs>
          <w:tab w:val="left" w:pos="9432"/>
        </w:tabs>
        <w:ind w:left="102"/>
        <w:jc w:val="both"/>
      </w:pPr>
      <w:r>
        <w:rPr>
          <w:sz w:val="20"/>
          <w:szCs w:val="20"/>
        </w:rPr>
        <w:t>En constancia de lo cual se firma en la ciudad de Bogotá D.C. el 1 de julio de 2020.</w:t>
      </w:r>
    </w:p>
    <w:p w:rsidR="002762C6" w:rsidRDefault="002762C6">
      <w:pPr>
        <w:pBdr>
          <w:top w:val="nil"/>
          <w:left w:val="nil"/>
          <w:bottom w:val="nil"/>
          <w:right w:val="nil"/>
          <w:between w:val="nil"/>
        </w:pBdr>
        <w:jc w:val="both"/>
        <w:rPr>
          <w:sz w:val="20"/>
          <w:szCs w:val="20"/>
        </w:rPr>
      </w:pPr>
    </w:p>
    <w:p w:rsidR="002762C6" w:rsidRDefault="002762C6">
      <w:pPr>
        <w:pBdr>
          <w:top w:val="nil"/>
          <w:left w:val="nil"/>
          <w:bottom w:val="nil"/>
          <w:right w:val="nil"/>
          <w:between w:val="nil"/>
        </w:pBdr>
        <w:jc w:val="both"/>
        <w:rPr>
          <w:sz w:val="20"/>
          <w:szCs w:val="20"/>
        </w:rPr>
      </w:pPr>
    </w:p>
    <w:p w:rsidR="002762C6" w:rsidRDefault="009E3DC4">
      <w:pPr>
        <w:pBdr>
          <w:top w:val="nil"/>
          <w:left w:val="nil"/>
          <w:bottom w:val="nil"/>
          <w:right w:val="nil"/>
          <w:between w:val="nil"/>
        </w:pBdr>
        <w:spacing w:before="73"/>
        <w:ind w:left="102" w:right="1888"/>
        <w:jc w:val="both"/>
        <w:rPr>
          <w:b/>
        </w:rPr>
      </w:pPr>
      <w:r>
        <w:rPr>
          <w:b/>
          <w:sz w:val="20"/>
          <w:szCs w:val="20"/>
        </w:rPr>
        <w:t>JUAN DAVID MARIN MONTES</w:t>
      </w:r>
    </w:p>
    <w:p w:rsidR="002762C6" w:rsidRDefault="009E3DC4">
      <w:pPr>
        <w:pBdr>
          <w:top w:val="nil"/>
          <w:left w:val="nil"/>
          <w:bottom w:val="nil"/>
          <w:right w:val="nil"/>
          <w:between w:val="nil"/>
        </w:pBdr>
        <w:spacing w:before="1"/>
        <w:ind w:left="102" w:right="1888"/>
        <w:jc w:val="both"/>
      </w:pPr>
      <w:r>
        <w:rPr>
          <w:sz w:val="20"/>
          <w:szCs w:val="20"/>
        </w:rPr>
        <w:t>Director de Desarrollo Empresarial y Empleo (E)</w:t>
      </w:r>
    </w:p>
    <w:p w:rsidR="002762C6" w:rsidRDefault="009E3DC4">
      <w:pPr>
        <w:pBdr>
          <w:top w:val="nil"/>
          <w:left w:val="nil"/>
          <w:bottom w:val="nil"/>
          <w:right w:val="nil"/>
          <w:between w:val="nil"/>
        </w:pBdr>
        <w:spacing w:before="1"/>
        <w:ind w:left="102" w:right="1888"/>
        <w:jc w:val="both"/>
      </w:pPr>
      <w:r>
        <w:rPr>
          <w:sz w:val="20"/>
          <w:szCs w:val="20"/>
        </w:rPr>
        <w:t xml:space="preserve">Subdirector de Financiamiento e Inclusión Financiera </w:t>
      </w:r>
    </w:p>
    <w:p w:rsidR="002762C6" w:rsidRDefault="002762C6">
      <w:pPr>
        <w:pBdr>
          <w:top w:val="nil"/>
          <w:left w:val="nil"/>
          <w:bottom w:val="nil"/>
          <w:right w:val="nil"/>
          <w:between w:val="nil"/>
        </w:pBdr>
        <w:spacing w:before="1"/>
        <w:ind w:right="1888"/>
        <w:jc w:val="both"/>
        <w:rPr>
          <w:sz w:val="16"/>
          <w:szCs w:val="16"/>
        </w:rPr>
      </w:pPr>
    </w:p>
    <w:tbl>
      <w:tblPr>
        <w:tblStyle w:val="a"/>
        <w:tblW w:w="8706" w:type="dxa"/>
        <w:jc w:val="center"/>
        <w:tblInd w:w="0" w:type="dxa"/>
        <w:tblLayout w:type="fixed"/>
        <w:tblLook w:val="0000"/>
      </w:tblPr>
      <w:tblGrid>
        <w:gridCol w:w="659"/>
        <w:gridCol w:w="6082"/>
        <w:gridCol w:w="1965"/>
      </w:tblGrid>
      <w:tr w:rsidR="002762C6">
        <w:trPr>
          <w:trHeight w:val="255"/>
          <w:jc w:val="center"/>
        </w:trPr>
        <w:tc>
          <w:tcPr>
            <w:tcW w:w="6741" w:type="dxa"/>
            <w:gridSpan w:val="2"/>
            <w:tcBorders>
              <w:top w:val="single" w:sz="8" w:space="0" w:color="000000"/>
              <w:left w:val="single" w:sz="8" w:space="0" w:color="000000"/>
              <w:bottom w:val="single" w:sz="8" w:space="0" w:color="000000"/>
              <w:right w:val="single" w:sz="8" w:space="0" w:color="000000"/>
            </w:tcBorders>
            <w:vAlign w:val="center"/>
          </w:tcPr>
          <w:p w:rsidR="002762C6" w:rsidRDefault="009E3DC4">
            <w:pPr>
              <w:jc w:val="center"/>
            </w:pPr>
            <w:r>
              <w:rPr>
                <w:b/>
                <w:color w:val="000000"/>
                <w:sz w:val="14"/>
                <w:szCs w:val="14"/>
              </w:rPr>
              <w:t> </w:t>
            </w:r>
          </w:p>
          <w:p w:rsidR="002762C6" w:rsidRDefault="009E3DC4">
            <w:pPr>
              <w:jc w:val="center"/>
            </w:pPr>
            <w:r>
              <w:rPr>
                <w:b/>
                <w:color w:val="000000"/>
                <w:sz w:val="14"/>
                <w:szCs w:val="14"/>
              </w:rPr>
              <w:t>NOMBRE, CARGO O CONTRATO</w:t>
            </w:r>
          </w:p>
        </w:tc>
        <w:tc>
          <w:tcPr>
            <w:tcW w:w="1965" w:type="dxa"/>
            <w:tcBorders>
              <w:top w:val="single" w:sz="8" w:space="0" w:color="000000"/>
              <w:bottom w:val="single" w:sz="8" w:space="0" w:color="000000"/>
              <w:right w:val="single" w:sz="8" w:space="0" w:color="000000"/>
            </w:tcBorders>
            <w:vAlign w:val="center"/>
          </w:tcPr>
          <w:p w:rsidR="002762C6" w:rsidRDefault="009E3DC4">
            <w:pPr>
              <w:jc w:val="center"/>
            </w:pPr>
            <w:r>
              <w:rPr>
                <w:b/>
                <w:color w:val="000000"/>
                <w:sz w:val="14"/>
                <w:szCs w:val="14"/>
              </w:rPr>
              <w:t>FIRMA</w:t>
            </w:r>
          </w:p>
        </w:tc>
      </w:tr>
      <w:tr w:rsidR="002762C6">
        <w:trPr>
          <w:trHeight w:val="45"/>
          <w:jc w:val="center"/>
        </w:trPr>
        <w:tc>
          <w:tcPr>
            <w:tcW w:w="659" w:type="dxa"/>
            <w:tcBorders>
              <w:left w:val="single" w:sz="8" w:space="0" w:color="000000"/>
              <w:bottom w:val="single" w:sz="8" w:space="0" w:color="000000"/>
              <w:right w:val="single" w:sz="8" w:space="0" w:color="000000"/>
            </w:tcBorders>
            <w:vAlign w:val="center"/>
          </w:tcPr>
          <w:p w:rsidR="002762C6" w:rsidRDefault="009E3DC4">
            <w:r>
              <w:rPr>
                <w:color w:val="000000"/>
                <w:sz w:val="14"/>
                <w:szCs w:val="14"/>
              </w:rPr>
              <w:t>Elaboró</w:t>
            </w:r>
          </w:p>
        </w:tc>
        <w:tc>
          <w:tcPr>
            <w:tcW w:w="6082" w:type="dxa"/>
            <w:tcBorders>
              <w:bottom w:val="single" w:sz="8" w:space="0" w:color="000000"/>
              <w:right w:val="single" w:sz="8" w:space="0" w:color="000000"/>
            </w:tcBorders>
            <w:vAlign w:val="center"/>
          </w:tcPr>
          <w:p w:rsidR="002762C6" w:rsidRDefault="009E3DC4">
            <w:r>
              <w:rPr>
                <w:sz w:val="14"/>
                <w:szCs w:val="14"/>
              </w:rPr>
              <w:t>Nelson Arias Polanco/contratista SFIF/contrato 290-2020</w:t>
            </w:r>
          </w:p>
        </w:tc>
        <w:tc>
          <w:tcPr>
            <w:tcW w:w="1965" w:type="dxa"/>
            <w:tcBorders>
              <w:bottom w:val="single" w:sz="8" w:space="0" w:color="000000"/>
              <w:right w:val="single" w:sz="8" w:space="0" w:color="000000"/>
            </w:tcBorders>
            <w:vAlign w:val="center"/>
          </w:tcPr>
          <w:p w:rsidR="002762C6" w:rsidRDefault="009E3DC4">
            <w:pPr>
              <w:jc w:val="center"/>
              <w:rPr>
                <w:color w:val="000000"/>
                <w:sz w:val="14"/>
                <w:szCs w:val="14"/>
              </w:rPr>
            </w:pPr>
            <w:r>
              <w:rPr>
                <w:noProof/>
              </w:rPr>
              <w:drawing>
                <wp:inline distT="0" distB="0" distL="114300" distR="114300">
                  <wp:extent cx="1104900" cy="952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104900" cy="95250"/>
                          </a:xfrm>
                          <a:prstGeom prst="rect">
                            <a:avLst/>
                          </a:prstGeom>
                          <a:ln/>
                        </pic:spPr>
                      </pic:pic>
                    </a:graphicData>
                  </a:graphic>
                </wp:inline>
              </w:drawing>
            </w:r>
          </w:p>
        </w:tc>
      </w:tr>
      <w:tr w:rsidR="002762C6">
        <w:trPr>
          <w:trHeight w:val="292"/>
          <w:jc w:val="center"/>
        </w:trPr>
        <w:tc>
          <w:tcPr>
            <w:tcW w:w="659" w:type="dxa"/>
            <w:tcBorders>
              <w:left w:val="single" w:sz="8" w:space="0" w:color="000000"/>
              <w:bottom w:val="single" w:sz="8" w:space="0" w:color="000000"/>
              <w:right w:val="single" w:sz="8" w:space="0" w:color="000000"/>
            </w:tcBorders>
            <w:vAlign w:val="center"/>
          </w:tcPr>
          <w:p w:rsidR="002762C6" w:rsidRDefault="009E3DC4">
            <w:r>
              <w:rPr>
                <w:color w:val="000000"/>
                <w:sz w:val="14"/>
                <w:szCs w:val="14"/>
              </w:rPr>
              <w:t>Revisó:</w:t>
            </w:r>
          </w:p>
        </w:tc>
        <w:tc>
          <w:tcPr>
            <w:tcW w:w="6082" w:type="dxa"/>
            <w:tcBorders>
              <w:bottom w:val="single" w:sz="8" w:space="0" w:color="000000"/>
              <w:right w:val="single" w:sz="8" w:space="0" w:color="000000"/>
            </w:tcBorders>
            <w:vAlign w:val="center"/>
          </w:tcPr>
          <w:p w:rsidR="002762C6" w:rsidRDefault="009E3DC4">
            <w:r>
              <w:rPr>
                <w:sz w:val="14"/>
                <w:szCs w:val="14"/>
              </w:rPr>
              <w:t>Ramiro Ropaín Lobo / Prof. Esp./</w:t>
            </w:r>
            <w:r>
              <w:rPr>
                <w:color w:val="000000"/>
                <w:sz w:val="14"/>
                <w:szCs w:val="14"/>
              </w:rPr>
              <w:t>Subdirección de Financiamiento e Inclusión Financiera.</w:t>
            </w:r>
          </w:p>
        </w:tc>
        <w:tc>
          <w:tcPr>
            <w:tcW w:w="1965" w:type="dxa"/>
            <w:tcBorders>
              <w:bottom w:val="single" w:sz="8" w:space="0" w:color="000000"/>
              <w:right w:val="single" w:sz="8" w:space="0" w:color="000000"/>
            </w:tcBorders>
            <w:vAlign w:val="center"/>
          </w:tcPr>
          <w:p w:rsidR="002762C6" w:rsidRDefault="009E3DC4">
            <w:pPr>
              <w:jc w:val="center"/>
            </w:pPr>
            <w:r>
              <w:rPr>
                <w:color w:val="000000"/>
                <w:sz w:val="14"/>
                <w:szCs w:val="14"/>
              </w:rPr>
              <w:t> </w:t>
            </w:r>
          </w:p>
        </w:tc>
      </w:tr>
      <w:tr w:rsidR="002762C6">
        <w:trPr>
          <w:trHeight w:val="225"/>
          <w:jc w:val="center"/>
        </w:trPr>
        <w:tc>
          <w:tcPr>
            <w:tcW w:w="659" w:type="dxa"/>
            <w:tcBorders>
              <w:left w:val="single" w:sz="8" w:space="0" w:color="000000"/>
              <w:bottom w:val="single" w:sz="8" w:space="0" w:color="000000"/>
              <w:right w:val="single" w:sz="8" w:space="0" w:color="000000"/>
            </w:tcBorders>
            <w:vAlign w:val="center"/>
          </w:tcPr>
          <w:p w:rsidR="002762C6" w:rsidRDefault="009E3DC4">
            <w:r>
              <w:rPr>
                <w:color w:val="000000"/>
                <w:sz w:val="14"/>
                <w:szCs w:val="14"/>
              </w:rPr>
              <w:t>Aprobó:</w:t>
            </w:r>
          </w:p>
        </w:tc>
        <w:tc>
          <w:tcPr>
            <w:tcW w:w="6082" w:type="dxa"/>
            <w:tcBorders>
              <w:bottom w:val="single" w:sz="8" w:space="0" w:color="000000"/>
              <w:right w:val="single" w:sz="8" w:space="0" w:color="000000"/>
            </w:tcBorders>
            <w:vAlign w:val="center"/>
          </w:tcPr>
          <w:p w:rsidR="002762C6" w:rsidRDefault="009E3DC4">
            <w:r>
              <w:rPr>
                <w:color w:val="000000"/>
                <w:sz w:val="14"/>
                <w:szCs w:val="14"/>
              </w:rPr>
              <w:t>Jaime Alviar García /</w:t>
            </w:r>
            <w:r>
              <w:rPr>
                <w:sz w:val="14"/>
                <w:szCs w:val="14"/>
              </w:rPr>
              <w:t xml:space="preserve"> Prof. Esp./SFIF</w:t>
            </w:r>
          </w:p>
        </w:tc>
        <w:tc>
          <w:tcPr>
            <w:tcW w:w="1965" w:type="dxa"/>
            <w:tcBorders>
              <w:bottom w:val="single" w:sz="8" w:space="0" w:color="000000"/>
              <w:right w:val="single" w:sz="8" w:space="0" w:color="000000"/>
            </w:tcBorders>
            <w:vAlign w:val="center"/>
          </w:tcPr>
          <w:p w:rsidR="002762C6" w:rsidRDefault="009E3DC4">
            <w:pPr>
              <w:jc w:val="center"/>
            </w:pPr>
            <w:r>
              <w:rPr>
                <w:color w:val="000000"/>
                <w:sz w:val="14"/>
                <w:szCs w:val="14"/>
              </w:rPr>
              <w:t> </w:t>
            </w:r>
          </w:p>
        </w:tc>
      </w:tr>
    </w:tbl>
    <w:p w:rsidR="002762C6" w:rsidRDefault="002762C6"/>
    <w:sectPr w:rsidR="002762C6" w:rsidSect="004431D5">
      <w:headerReference w:type="default" r:id="rId9"/>
      <w:footerReference w:type="default" r:id="rId10"/>
      <w:headerReference w:type="first" r:id="rId11"/>
      <w:footerReference w:type="first" r:id="rId12"/>
      <w:pgSz w:w="12240" w:h="15840"/>
      <w:pgMar w:top="2100" w:right="1608" w:bottom="1609" w:left="1560" w:header="553" w:footer="155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672" w:rsidRDefault="00674672">
      <w:r>
        <w:separator/>
      </w:r>
    </w:p>
  </w:endnote>
  <w:endnote w:type="continuationSeparator" w:id="1">
    <w:p w:rsidR="00674672" w:rsidRDefault="00674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ontserrat">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C6" w:rsidRDefault="009E3DC4">
    <w:pPr>
      <w:pBdr>
        <w:top w:val="nil"/>
        <w:left w:val="nil"/>
        <w:bottom w:val="nil"/>
        <w:right w:val="nil"/>
        <w:between w:val="nil"/>
      </w:pBdr>
      <w:ind w:left="142"/>
      <w:jc w:val="center"/>
    </w:pPr>
    <w:r>
      <w:t xml:space="preserve"> </w:t>
    </w:r>
    <w:r w:rsidR="004431D5">
      <w:fldChar w:fldCharType="begin"/>
    </w:r>
    <w:r>
      <w:instrText>PAGE</w:instrText>
    </w:r>
    <w:r w:rsidR="004431D5">
      <w:fldChar w:fldCharType="separate"/>
    </w:r>
    <w:r w:rsidR="009C6DA0">
      <w:rPr>
        <w:noProof/>
      </w:rPr>
      <w:t>8</w:t>
    </w:r>
    <w:r w:rsidR="004431D5">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C6" w:rsidRDefault="004431D5">
    <w:pPr>
      <w:jc w:val="right"/>
    </w:pPr>
    <w:r>
      <w:fldChar w:fldCharType="begin"/>
    </w:r>
    <w:r w:rsidR="009E3DC4">
      <w:instrText>PAGE</w:instrText>
    </w:r>
    <w:r>
      <w:fldChar w:fldCharType="separate"/>
    </w:r>
    <w:r w:rsidR="009C6DA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672" w:rsidRDefault="00674672">
      <w:r>
        <w:separator/>
      </w:r>
    </w:p>
  </w:footnote>
  <w:footnote w:type="continuationSeparator" w:id="1">
    <w:p w:rsidR="00674672" w:rsidRDefault="006746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C6" w:rsidRDefault="009E3DC4">
    <w:pPr>
      <w:spacing w:line="264" w:lineRule="auto"/>
      <w:jc w:val="right"/>
      <w:rPr>
        <w:sz w:val="20"/>
        <w:szCs w:val="20"/>
      </w:rPr>
    </w:pPr>
    <w:r>
      <w:br/>
    </w:r>
    <w:r>
      <w:rPr>
        <w:b/>
        <w:sz w:val="20"/>
        <w:szCs w:val="20"/>
      </w:rPr>
      <w:t xml:space="preserve">    </w:t>
    </w:r>
  </w:p>
  <w:p w:rsidR="002762C6" w:rsidRDefault="009E3DC4">
    <w:pPr>
      <w:keepNext/>
      <w:pBdr>
        <w:top w:val="nil"/>
        <w:left w:val="nil"/>
        <w:bottom w:val="nil"/>
        <w:right w:val="nil"/>
        <w:between w:val="nil"/>
      </w:pBdr>
      <w:spacing w:before="240" w:after="120"/>
      <w:jc w:val="right"/>
      <w:rPr>
        <w:rFonts w:ascii="Liberation Sans" w:eastAsia="Liberation Sans" w:hAnsi="Liberation Sans" w:cs="Liberation Sans"/>
        <w:sz w:val="28"/>
        <w:szCs w:val="28"/>
      </w:rPr>
    </w:pPr>
    <w:r>
      <w:rPr>
        <w:rFonts w:ascii="Liberation Sans" w:eastAsia="Liberation Sans" w:hAnsi="Liberation Sans" w:cs="Liberation Sans"/>
        <w:b/>
        <w:sz w:val="20"/>
        <w:szCs w:val="20"/>
      </w:rPr>
      <w:t>Convocatoria No. 001 - 2020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2C6" w:rsidRDefault="002762C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13B9"/>
    <w:multiLevelType w:val="multilevel"/>
    <w:tmpl w:val="AFF61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9A4EDE"/>
    <w:multiLevelType w:val="multilevel"/>
    <w:tmpl w:val="A9189B54"/>
    <w:lvl w:ilvl="0">
      <w:start w:val="1"/>
      <w:numFmt w:val="decimal"/>
      <w:lvlText w:val="%1."/>
      <w:lvlJc w:val="left"/>
      <w:pPr>
        <w:ind w:left="928" w:hanging="360"/>
      </w:pPr>
      <w:rPr>
        <w:vertAlign w:val="baseline"/>
      </w:rPr>
    </w:lvl>
    <w:lvl w:ilvl="1">
      <w:start w:val="1"/>
      <w:numFmt w:val="decimal"/>
      <w:lvlText w:val="%2."/>
      <w:lvlJc w:val="left"/>
      <w:pPr>
        <w:ind w:left="1182" w:hanging="360"/>
      </w:pPr>
      <w:rPr>
        <w:vertAlign w:val="baseline"/>
      </w:rPr>
    </w:lvl>
    <w:lvl w:ilvl="2">
      <w:start w:val="1"/>
      <w:numFmt w:val="decimal"/>
      <w:lvlText w:val="%3."/>
      <w:lvlJc w:val="left"/>
      <w:pPr>
        <w:ind w:left="1542" w:hanging="360"/>
      </w:pPr>
      <w:rPr>
        <w:vertAlign w:val="baseline"/>
      </w:rPr>
    </w:lvl>
    <w:lvl w:ilvl="3">
      <w:start w:val="1"/>
      <w:numFmt w:val="decimal"/>
      <w:lvlText w:val="%4."/>
      <w:lvlJc w:val="left"/>
      <w:pPr>
        <w:ind w:left="1902" w:hanging="360"/>
      </w:pPr>
      <w:rPr>
        <w:vertAlign w:val="baseline"/>
      </w:rPr>
    </w:lvl>
    <w:lvl w:ilvl="4">
      <w:start w:val="1"/>
      <w:numFmt w:val="decimal"/>
      <w:lvlText w:val="%5."/>
      <w:lvlJc w:val="left"/>
      <w:pPr>
        <w:ind w:left="2262" w:hanging="360"/>
      </w:pPr>
      <w:rPr>
        <w:vertAlign w:val="baseline"/>
      </w:rPr>
    </w:lvl>
    <w:lvl w:ilvl="5">
      <w:start w:val="1"/>
      <w:numFmt w:val="decimal"/>
      <w:lvlText w:val="%6."/>
      <w:lvlJc w:val="left"/>
      <w:pPr>
        <w:ind w:left="2622" w:hanging="360"/>
      </w:pPr>
      <w:rPr>
        <w:vertAlign w:val="baseline"/>
      </w:rPr>
    </w:lvl>
    <w:lvl w:ilvl="6">
      <w:start w:val="1"/>
      <w:numFmt w:val="decimal"/>
      <w:lvlText w:val="%7."/>
      <w:lvlJc w:val="left"/>
      <w:pPr>
        <w:ind w:left="2982" w:hanging="360"/>
      </w:pPr>
      <w:rPr>
        <w:vertAlign w:val="baseline"/>
      </w:rPr>
    </w:lvl>
    <w:lvl w:ilvl="7">
      <w:start w:val="1"/>
      <w:numFmt w:val="decimal"/>
      <w:lvlText w:val="%8."/>
      <w:lvlJc w:val="left"/>
      <w:pPr>
        <w:ind w:left="3342" w:hanging="360"/>
      </w:pPr>
      <w:rPr>
        <w:vertAlign w:val="baseline"/>
      </w:rPr>
    </w:lvl>
    <w:lvl w:ilvl="8">
      <w:start w:val="1"/>
      <w:numFmt w:val="decimal"/>
      <w:lvlText w:val="%9."/>
      <w:lvlJc w:val="left"/>
      <w:pPr>
        <w:ind w:left="3702" w:hanging="360"/>
      </w:pPr>
      <w:rPr>
        <w:vertAlign w:val="baseline"/>
      </w:rPr>
    </w:lvl>
  </w:abstractNum>
  <w:abstractNum w:abstractNumId="2">
    <w:nsid w:val="61762F3C"/>
    <w:multiLevelType w:val="multilevel"/>
    <w:tmpl w:val="774C107E"/>
    <w:lvl w:ilvl="0">
      <w:start w:val="1"/>
      <w:numFmt w:val="bullet"/>
      <w:lvlText w:val="●"/>
      <w:lvlJc w:val="left"/>
      <w:pPr>
        <w:ind w:left="720" w:hanging="360"/>
      </w:pPr>
      <w:rPr>
        <w:rFonts w:ascii="Montserrat" w:eastAsia="Montserrat" w:hAnsi="Montserrat" w:cs="Montserrat"/>
        <w:color w:val="2E3130"/>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762C6"/>
    <w:rsid w:val="0014167C"/>
    <w:rsid w:val="002762C6"/>
    <w:rsid w:val="004431D5"/>
    <w:rsid w:val="00461D60"/>
    <w:rsid w:val="00674672"/>
    <w:rsid w:val="00780250"/>
    <w:rsid w:val="007B59FA"/>
    <w:rsid w:val="0098453D"/>
    <w:rsid w:val="009C6DA0"/>
    <w:rsid w:val="009E3DC4"/>
    <w:rsid w:val="00C01E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A"/>
        <w:sz w:val="22"/>
        <w:szCs w:val="22"/>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431D5"/>
  </w:style>
  <w:style w:type="paragraph" w:styleId="Ttulo1">
    <w:name w:val="heading 1"/>
    <w:basedOn w:val="Normal"/>
    <w:next w:val="Normal"/>
    <w:rsid w:val="004431D5"/>
    <w:pPr>
      <w:keepNext/>
      <w:keepLines/>
      <w:spacing w:before="480" w:after="120"/>
      <w:outlineLvl w:val="0"/>
    </w:pPr>
    <w:rPr>
      <w:b/>
      <w:sz w:val="48"/>
      <w:szCs w:val="48"/>
    </w:rPr>
  </w:style>
  <w:style w:type="paragraph" w:styleId="Ttulo2">
    <w:name w:val="heading 2"/>
    <w:basedOn w:val="Normal"/>
    <w:next w:val="Normal"/>
    <w:rsid w:val="004431D5"/>
    <w:pPr>
      <w:keepNext/>
      <w:keepLines/>
      <w:spacing w:before="360" w:after="80"/>
      <w:outlineLvl w:val="1"/>
    </w:pPr>
    <w:rPr>
      <w:b/>
      <w:sz w:val="36"/>
      <w:szCs w:val="36"/>
    </w:rPr>
  </w:style>
  <w:style w:type="paragraph" w:styleId="Ttulo3">
    <w:name w:val="heading 3"/>
    <w:basedOn w:val="Normal"/>
    <w:next w:val="Normal"/>
    <w:rsid w:val="004431D5"/>
    <w:pPr>
      <w:keepNext/>
      <w:keepLines/>
      <w:spacing w:before="280" w:after="80"/>
      <w:outlineLvl w:val="2"/>
    </w:pPr>
    <w:rPr>
      <w:b/>
      <w:sz w:val="28"/>
      <w:szCs w:val="28"/>
    </w:rPr>
  </w:style>
  <w:style w:type="paragraph" w:styleId="Ttulo4">
    <w:name w:val="heading 4"/>
    <w:basedOn w:val="Normal"/>
    <w:next w:val="Normal"/>
    <w:rsid w:val="004431D5"/>
    <w:pPr>
      <w:keepNext/>
      <w:keepLines/>
      <w:spacing w:before="240" w:after="40"/>
      <w:outlineLvl w:val="3"/>
    </w:pPr>
    <w:rPr>
      <w:b/>
      <w:sz w:val="24"/>
      <w:szCs w:val="24"/>
    </w:rPr>
  </w:style>
  <w:style w:type="paragraph" w:styleId="Ttulo5">
    <w:name w:val="heading 5"/>
    <w:basedOn w:val="Normal"/>
    <w:next w:val="Normal"/>
    <w:rsid w:val="004431D5"/>
    <w:pPr>
      <w:keepNext/>
      <w:keepLines/>
      <w:spacing w:before="220" w:after="40"/>
      <w:outlineLvl w:val="4"/>
    </w:pPr>
    <w:rPr>
      <w:b/>
    </w:rPr>
  </w:style>
  <w:style w:type="paragraph" w:styleId="Ttulo6">
    <w:name w:val="heading 6"/>
    <w:basedOn w:val="Normal"/>
    <w:next w:val="Normal"/>
    <w:rsid w:val="004431D5"/>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4431D5"/>
    <w:tblPr>
      <w:tblCellMar>
        <w:top w:w="0" w:type="dxa"/>
        <w:left w:w="0" w:type="dxa"/>
        <w:bottom w:w="0" w:type="dxa"/>
        <w:right w:w="0" w:type="dxa"/>
      </w:tblCellMar>
    </w:tblPr>
  </w:style>
  <w:style w:type="paragraph" w:styleId="Ttulo">
    <w:name w:val="Title"/>
    <w:basedOn w:val="Normal"/>
    <w:next w:val="Normal"/>
    <w:rsid w:val="004431D5"/>
    <w:pPr>
      <w:keepNext/>
      <w:keepLines/>
      <w:spacing w:before="480" w:after="120"/>
    </w:pPr>
    <w:rPr>
      <w:b/>
      <w:sz w:val="72"/>
      <w:szCs w:val="72"/>
    </w:rPr>
  </w:style>
  <w:style w:type="paragraph" w:styleId="Subttulo">
    <w:name w:val="Subtitle"/>
    <w:basedOn w:val="Normal"/>
    <w:next w:val="Normal"/>
    <w:rsid w:val="004431D5"/>
    <w:pPr>
      <w:keepNext/>
      <w:keepLines/>
      <w:spacing w:before="360" w:after="80"/>
    </w:pPr>
    <w:rPr>
      <w:rFonts w:ascii="Georgia" w:eastAsia="Georgia" w:hAnsi="Georgia" w:cs="Georgia"/>
      <w:i/>
      <w:color w:val="666666"/>
      <w:sz w:val="48"/>
      <w:szCs w:val="48"/>
    </w:rPr>
  </w:style>
  <w:style w:type="table" w:customStyle="1" w:styleId="a">
    <w:basedOn w:val="TableNormal"/>
    <w:rsid w:val="004431D5"/>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14167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167C"/>
    <w:rPr>
      <w:rFonts w:ascii="Tahoma" w:hAnsi="Tahoma" w:cs="Tahoma"/>
      <w:sz w:val="16"/>
      <w:szCs w:val="16"/>
    </w:rPr>
  </w:style>
  <w:style w:type="paragraph" w:customStyle="1" w:styleId="Default">
    <w:name w:val="Default"/>
    <w:rsid w:val="00C01E4B"/>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7802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A"/>
        <w:sz w:val="22"/>
        <w:szCs w:val="22"/>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paragraph" w:styleId="Textodeglobo">
    <w:name w:val="Balloon Text"/>
    <w:basedOn w:val="Normal"/>
    <w:link w:val="TextodegloboCar"/>
    <w:uiPriority w:val="99"/>
    <w:semiHidden/>
    <w:unhideWhenUsed/>
    <w:rsid w:val="0014167C"/>
    <w:rPr>
      <w:rFonts w:ascii="Tahoma" w:hAnsi="Tahoma" w:cs="Tahoma"/>
      <w:sz w:val="16"/>
      <w:szCs w:val="16"/>
    </w:rPr>
  </w:style>
  <w:style w:type="character" w:customStyle="1" w:styleId="TextodegloboCar">
    <w:name w:val="Texto de globo Car"/>
    <w:basedOn w:val="Fuentedeprrafopredeter"/>
    <w:link w:val="Textodeglobo"/>
    <w:uiPriority w:val="99"/>
    <w:semiHidden/>
    <w:rsid w:val="0014167C"/>
    <w:rPr>
      <w:rFonts w:ascii="Tahoma" w:hAnsi="Tahoma" w:cs="Tahoma"/>
      <w:sz w:val="16"/>
      <w:szCs w:val="16"/>
    </w:rPr>
  </w:style>
  <w:style w:type="paragraph" w:customStyle="1" w:styleId="Default">
    <w:name w:val="Default"/>
    <w:rsid w:val="00C01E4B"/>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78025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sarrolloeconomico.gov.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3630</Words>
  <Characters>19966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c:creator>
  <cp:lastModifiedBy>Invitado-7952</cp:lastModifiedBy>
  <cp:revision>2</cp:revision>
  <dcterms:created xsi:type="dcterms:W3CDTF">2020-07-06T21:37:00Z</dcterms:created>
  <dcterms:modified xsi:type="dcterms:W3CDTF">2020-07-06T21:37:00Z</dcterms:modified>
</cp:coreProperties>
</file>