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71" w:rsidRDefault="00F87071" w:rsidP="00F87071">
      <w:pPr>
        <w:pStyle w:val="normal0"/>
        <w:jc w:val="both"/>
        <w:rPr>
          <w:b/>
          <w:color w:val="222222"/>
          <w:sz w:val="24"/>
          <w:szCs w:val="24"/>
          <w:highlight w:val="white"/>
        </w:rPr>
      </w:pPr>
      <w:r>
        <w:rPr>
          <w:b/>
          <w:color w:val="222222"/>
          <w:sz w:val="24"/>
          <w:szCs w:val="24"/>
          <w:highlight w:val="white"/>
        </w:rPr>
        <w:t>Pregunta: Se</w:t>
      </w:r>
      <w:r w:rsidRPr="00F87071">
        <w:rPr>
          <w:b/>
          <w:color w:val="222222"/>
          <w:sz w:val="24"/>
          <w:szCs w:val="24"/>
          <w:highlight w:val="white"/>
        </w:rPr>
        <w:t xml:space="preserve"> tienen indicadores de gestión en los temas de Economía Rural y abastecimiento para poder tomar decisiones.</w:t>
      </w:r>
    </w:p>
    <w:p w:rsidR="00F87071" w:rsidRDefault="00F87071" w:rsidP="00F87071">
      <w:pPr>
        <w:pStyle w:val="normal0"/>
        <w:jc w:val="both"/>
        <w:rPr>
          <w:color w:val="222222"/>
          <w:sz w:val="24"/>
          <w:szCs w:val="24"/>
        </w:rPr>
      </w:pPr>
    </w:p>
    <w:p w:rsidR="00F87071" w:rsidRDefault="00F87071" w:rsidP="00F87071">
      <w:pPr>
        <w:pStyle w:val="normal0"/>
        <w:jc w:val="center"/>
        <w:rPr>
          <w:b/>
          <w:color w:val="222222"/>
          <w:sz w:val="24"/>
          <w:szCs w:val="24"/>
        </w:rPr>
      </w:pPr>
      <w:r>
        <w:rPr>
          <w:b/>
          <w:color w:val="222222"/>
          <w:sz w:val="24"/>
          <w:szCs w:val="24"/>
        </w:rPr>
        <w:t>Respuesta</w:t>
      </w:r>
    </w:p>
    <w:p w:rsidR="00F87071" w:rsidRDefault="00F87071" w:rsidP="00F87071">
      <w:pPr>
        <w:pStyle w:val="normal0"/>
        <w:jc w:val="center"/>
        <w:rPr>
          <w:b/>
          <w:color w:val="222222"/>
          <w:sz w:val="24"/>
          <w:szCs w:val="24"/>
        </w:rPr>
      </w:pPr>
    </w:p>
    <w:p w:rsidR="00F87071" w:rsidRDefault="00F87071" w:rsidP="00F87071">
      <w:pPr>
        <w:jc w:val="both"/>
        <w:rPr>
          <w:rFonts w:ascii="Bookman Old Style" w:eastAsia="Times New Roman" w:hAnsi="Bookman Old Style" w:cs="Times New Roman"/>
        </w:rPr>
      </w:pPr>
      <w:r>
        <w:rPr>
          <w:rFonts w:ascii="Bookman Old Style" w:eastAsia="Times New Roman" w:hAnsi="Bookman Old Style" w:cs="Times New Roman"/>
        </w:rPr>
        <w:t xml:space="preserve">Con relación a los Indicadores de Gestión en los temas de </w:t>
      </w:r>
      <w:r w:rsidR="000C5AFB">
        <w:rPr>
          <w:rFonts w:ascii="Bookman Old Style" w:eastAsia="Times New Roman" w:hAnsi="Bookman Old Style" w:cs="Times New Roman"/>
        </w:rPr>
        <w:t>Economía</w:t>
      </w:r>
      <w:r>
        <w:rPr>
          <w:rFonts w:ascii="Bookman Old Style" w:eastAsia="Times New Roman" w:hAnsi="Bookman Old Style" w:cs="Times New Roman"/>
        </w:rPr>
        <w:t xml:space="preserve"> rural para</w:t>
      </w:r>
      <w:r w:rsidR="007B6AA5">
        <w:rPr>
          <w:rFonts w:ascii="Bookman Old Style" w:eastAsia="Times New Roman" w:hAnsi="Bookman Old Style" w:cs="Times New Roman"/>
        </w:rPr>
        <w:t xml:space="preserve"> la  toma de </w:t>
      </w:r>
      <w:r>
        <w:rPr>
          <w:rFonts w:ascii="Bookman Old Style" w:eastAsia="Times New Roman" w:hAnsi="Bookman Old Style" w:cs="Times New Roman"/>
        </w:rPr>
        <w:t xml:space="preserve">decisiones es  </w:t>
      </w:r>
      <w:r w:rsidR="007B6AA5">
        <w:rPr>
          <w:rFonts w:ascii="Bookman Old Style" w:eastAsia="Times New Roman" w:hAnsi="Bookman Old Style" w:cs="Times New Roman"/>
        </w:rPr>
        <w:t xml:space="preserve">necesario identificar y clasificar </w:t>
      </w:r>
      <w:r>
        <w:rPr>
          <w:rFonts w:ascii="Bookman Old Style" w:eastAsia="Times New Roman" w:hAnsi="Bookman Old Style" w:cs="Times New Roman"/>
        </w:rPr>
        <w:t xml:space="preserve"> que el </w:t>
      </w:r>
      <w:r w:rsidRPr="00B428A6">
        <w:rPr>
          <w:rFonts w:ascii="Bookman Old Style" w:eastAsia="Times New Roman" w:hAnsi="Bookman Old Style" w:cs="Times New Roman"/>
        </w:rPr>
        <w:t xml:space="preserve">presente proyecto está enmarcado en el Plan Distrital de Desarrollo </w:t>
      </w:r>
      <w:r w:rsidRPr="00B428A6">
        <w:rPr>
          <w:rFonts w:ascii="Bookman Old Style" w:eastAsia="Times New Roman" w:hAnsi="Bookman Old Style" w:cs="Times New Roman"/>
          <w:i/>
        </w:rPr>
        <w:t xml:space="preserve">“Bogotá mejor para todos”, </w:t>
      </w:r>
      <w:r w:rsidRPr="00B428A6">
        <w:rPr>
          <w:rFonts w:ascii="Bookman Old Style" w:eastAsia="Times New Roman" w:hAnsi="Bookman Old Style" w:cs="Times New Roman"/>
        </w:rPr>
        <w:t xml:space="preserve">específicamente al Tercer Eje Transversal “Sostenibilidad ambiental basada en eficiencia energética”, dentro del cual se considera el Desarrollo Rural Sostenible como eje central para la puesta en marcha de acciones tendientes a la garantía de la mejora de la calidad de vida de los y las pobladoras rurales, así como de la sostenibilidad de la ciudad. </w:t>
      </w:r>
    </w:p>
    <w:p w:rsidR="00F87071" w:rsidRDefault="007B6AA5" w:rsidP="00F87071">
      <w:pPr>
        <w:jc w:val="both"/>
        <w:rPr>
          <w:rFonts w:ascii="Bookman Old Style" w:eastAsia="Times New Roman" w:hAnsi="Bookman Old Style" w:cs="Times New Roman"/>
        </w:rPr>
      </w:pPr>
      <w:r>
        <w:rPr>
          <w:rFonts w:ascii="Bookman Old Style" w:eastAsia="Times New Roman" w:hAnsi="Bookman Old Style" w:cs="Times New Roman"/>
        </w:rPr>
        <w:t xml:space="preserve">Es por esto que el </w:t>
      </w:r>
      <w:r w:rsidR="00F87071" w:rsidRPr="00B428A6">
        <w:rPr>
          <w:rFonts w:ascii="Bookman Old Style" w:eastAsia="Times New Roman" w:hAnsi="Bookman Old Style" w:cs="Times New Roman"/>
        </w:rPr>
        <w:t xml:space="preserve">proyecto de inversión </w:t>
      </w:r>
      <w:r w:rsidR="0089260C">
        <w:rPr>
          <w:rFonts w:ascii="Bookman Old Style" w:eastAsia="Times New Roman" w:hAnsi="Bookman Old Style" w:cs="Times New Roman"/>
        </w:rPr>
        <w:t xml:space="preserve">1025 </w:t>
      </w:r>
      <w:r w:rsidR="00F87071" w:rsidRPr="00B428A6">
        <w:rPr>
          <w:rFonts w:ascii="Bookman Old Style" w:eastAsia="Times New Roman" w:hAnsi="Bookman Old Style" w:cs="Times New Roman"/>
        </w:rPr>
        <w:t>“</w:t>
      </w:r>
      <w:r w:rsidR="00F87071" w:rsidRPr="00B428A6">
        <w:rPr>
          <w:rFonts w:ascii="Bookman Old Style" w:eastAsia="Times New Roman" w:hAnsi="Bookman Old Style" w:cs="Times New Roman"/>
          <w:i/>
        </w:rPr>
        <w:t>Generación de alternativas productivas de desarrollo sostenible para la ruralidad bogotana”</w:t>
      </w:r>
      <w:r w:rsidR="00F87071" w:rsidRPr="00B428A6">
        <w:rPr>
          <w:rFonts w:ascii="Bookman Old Style" w:eastAsia="Times New Roman" w:hAnsi="Bookman Old Style" w:cs="Times New Roman"/>
        </w:rPr>
        <w:t xml:space="preserve"> corresponde a un proyecto de </w:t>
      </w:r>
      <w:r w:rsidR="00F87071" w:rsidRPr="00B428A6">
        <w:rPr>
          <w:rFonts w:ascii="Bookman Old Style" w:eastAsia="Times New Roman" w:hAnsi="Bookman Old Style" w:cs="Times New Roman"/>
          <w:b/>
        </w:rPr>
        <w:t xml:space="preserve">Servicio </w:t>
      </w:r>
      <w:r w:rsidR="00F87071" w:rsidRPr="00B428A6">
        <w:rPr>
          <w:rFonts w:ascii="Bookman Old Style" w:eastAsia="Times New Roman" w:hAnsi="Bookman Old Style" w:cs="Times New Roman"/>
        </w:rPr>
        <w:t xml:space="preserve">según la clasificación efectuada por el </w:t>
      </w:r>
      <w:r w:rsidR="00F87071" w:rsidRPr="00B428A6">
        <w:rPr>
          <w:rFonts w:ascii="Bookman Old Style" w:eastAsia="Times New Roman" w:hAnsi="Bookman Old Style" w:cs="Times New Roman"/>
          <w:i/>
        </w:rPr>
        <w:t>Manual para la administración y operación del Banco Distrital de programas y proyectos</w:t>
      </w:r>
      <w:r w:rsidR="00F87071" w:rsidRPr="00B428A6">
        <w:rPr>
          <w:rFonts w:ascii="Bookman Old Style" w:eastAsia="Times New Roman" w:hAnsi="Bookman Old Style" w:cs="Times New Roman"/>
        </w:rPr>
        <w:t xml:space="preserve"> de la Secretaría Distrital de Planeación</w:t>
      </w:r>
      <w:r w:rsidR="00F87071" w:rsidRPr="00B428A6">
        <w:rPr>
          <w:rFonts w:ascii="Bookman Old Style" w:eastAsia="Times New Roman" w:hAnsi="Bookman Old Style" w:cs="Times New Roman"/>
          <w:b/>
        </w:rPr>
        <w:t>.</w:t>
      </w:r>
      <w:r w:rsidR="00F87071" w:rsidRPr="00B428A6">
        <w:rPr>
          <w:rFonts w:ascii="Bookman Old Style" w:eastAsia="Times New Roman" w:hAnsi="Bookman Old Style" w:cs="Times New Roman"/>
        </w:rPr>
        <w:t xml:space="preserve"> Lo anterior dado que el proyecto está dirigido a la atención de la población rural del Distrito, para la garantía de sus derechos a través del fortalecimiento organizativo, que permita superar las barreras de la intermediación en el escenario de la comercialización y del abastecimiento de la ciudad.</w:t>
      </w:r>
    </w:p>
    <w:p w:rsidR="007B6AA5" w:rsidRDefault="007B6AA5" w:rsidP="007B6AA5">
      <w:pPr>
        <w:jc w:val="both"/>
        <w:rPr>
          <w:rFonts w:ascii="Bookman Old Style" w:eastAsia="Times New Roman" w:hAnsi="Bookman Old Style" w:cs="Times New Roman"/>
        </w:rPr>
      </w:pPr>
      <w:r w:rsidRPr="00B428A6">
        <w:rPr>
          <w:rFonts w:ascii="Bookman Old Style" w:eastAsia="Times New Roman" w:hAnsi="Bookman Old Style" w:cs="Times New Roman"/>
        </w:rPr>
        <w:t>Para el desarrollo del proyecto, se contempla el fortalecimiento organizativo, a través del ejercicio constante de intercambio de saberes, la i</w:t>
      </w:r>
      <w:r>
        <w:rPr>
          <w:rFonts w:ascii="Bookman Old Style" w:eastAsia="Times New Roman" w:hAnsi="Bookman Old Style" w:cs="Times New Roman"/>
        </w:rPr>
        <w:t>-</w:t>
      </w:r>
      <w:r w:rsidRPr="00B428A6">
        <w:rPr>
          <w:rFonts w:ascii="Bookman Old Style" w:eastAsia="Times New Roman" w:hAnsi="Bookman Old Style" w:cs="Times New Roman"/>
        </w:rPr>
        <w:t>mplementación y desarrollo procesos de reconversión productiva utilizando como metodología las Escuelas de Campo. De igual manera, se contempla incentivar el establecimiento de Buenas Prácticas Ganaderas -BPG, Buenas Prácticas de Manejo -BPM, Buenas Prácticas Agrícolas -BPA, la producción limpia y ejercicios asociativos para la comercialización asociada a alternativas productivas, en nuevos nichos de comercialización y en mercados tradicionales.</w:t>
      </w:r>
    </w:p>
    <w:p w:rsidR="007B6AA5" w:rsidRDefault="007B6AA5" w:rsidP="007B6AA5">
      <w:pPr>
        <w:spacing w:after="0"/>
        <w:jc w:val="both"/>
        <w:rPr>
          <w:rFonts w:ascii="Bookman Old Style" w:eastAsia="Times New Roman" w:hAnsi="Bookman Old Style" w:cs="Times New Roman"/>
        </w:rPr>
      </w:pPr>
      <w:r>
        <w:rPr>
          <w:rFonts w:ascii="Bookman Old Style" w:eastAsia="Times New Roman" w:hAnsi="Bookman Old Style" w:cs="Times New Roman"/>
        </w:rPr>
        <w:t>E</w:t>
      </w:r>
      <w:r w:rsidRPr="00B428A6">
        <w:rPr>
          <w:rFonts w:ascii="Bookman Old Style" w:eastAsia="Times New Roman" w:hAnsi="Bookman Old Style" w:cs="Times New Roman"/>
        </w:rPr>
        <w:t>s preciso resaltar que, aunque la población de las áreas rurales no se puede comparar en número con la del área urbana, son estos habitantes rurales quienes garantizan gran parte de la producción de agua, alimentos y de todo tipo de servicios ecosistémicos, sin los cuales no podría permanecer ni desarrollarse la Bogotá urbana, por lo que urge una acción integral por parte de las instituciones que permita alcanzar escenarios de sostenibilidad económica, ambiental, cultural y social asociada a los sistemas de producción rural, que sin duda se revertirá en mayores niveles de calidad de vida para la Bogotá urbana.</w:t>
      </w:r>
    </w:p>
    <w:p w:rsidR="0089260C" w:rsidRDefault="0089260C" w:rsidP="0089260C">
      <w:pPr>
        <w:pStyle w:val="Ttulo1"/>
        <w:numPr>
          <w:ilvl w:val="0"/>
          <w:numId w:val="0"/>
        </w:numPr>
        <w:ind w:left="432"/>
        <w:rPr>
          <w:rFonts w:eastAsia="Times New Roman" w:cs="Times New Roman"/>
          <w:b w:val="0"/>
          <w:color w:val="auto"/>
          <w:sz w:val="22"/>
          <w:szCs w:val="22"/>
        </w:rPr>
      </w:pPr>
      <w:bookmarkStart w:id="0" w:name="_Toc452543435"/>
      <w:bookmarkStart w:id="1" w:name="_Toc452543619"/>
      <w:bookmarkStart w:id="2" w:name="_Toc452736019"/>
      <w:bookmarkStart w:id="3" w:name="_Toc453143126"/>
    </w:p>
    <w:p w:rsidR="00880E47" w:rsidRDefault="0089260C" w:rsidP="008D3531">
      <w:pPr>
        <w:pStyle w:val="Ttulo1"/>
        <w:numPr>
          <w:ilvl w:val="0"/>
          <w:numId w:val="0"/>
        </w:numPr>
        <w:ind w:left="432"/>
      </w:pPr>
      <w:r w:rsidRPr="00AB7DC7">
        <w:t>Metas e indicadores del proyecto</w:t>
      </w:r>
      <w:bookmarkEnd w:id="0"/>
      <w:bookmarkEnd w:id="1"/>
      <w:bookmarkEnd w:id="2"/>
      <w:bookmarkEnd w:id="3"/>
    </w:p>
    <w:p w:rsidR="00880E47" w:rsidRPr="00880E47" w:rsidRDefault="00880E47" w:rsidP="00880E47">
      <w:pPr>
        <w:spacing w:after="0"/>
        <w:jc w:val="both"/>
        <w:rPr>
          <w:rFonts w:ascii="Bookman Old Style" w:eastAsia="Times New Roman" w:hAnsi="Bookman Old Style" w:cs="Times New Roman"/>
        </w:rPr>
      </w:pPr>
      <w:r w:rsidRPr="00B428A6">
        <w:rPr>
          <w:rFonts w:ascii="Bookman Old Style" w:eastAsia="Times New Roman" w:hAnsi="Bookman Old Style" w:cs="Times New Roman"/>
        </w:rPr>
        <w:t xml:space="preserve">Dentro de las actividades planteadas para dar cumplimiento a la </w:t>
      </w:r>
      <w:r w:rsidRPr="00880E47">
        <w:rPr>
          <w:rFonts w:ascii="Bookman Old Style" w:eastAsia="Times New Roman" w:hAnsi="Bookman Old Style" w:cs="Times New Roman"/>
        </w:rPr>
        <w:t>Meta</w:t>
      </w:r>
      <w:r w:rsidRPr="00B428A6">
        <w:rPr>
          <w:rFonts w:ascii="Bookman Old Style" w:eastAsia="Times New Roman" w:hAnsi="Bookman Old Style" w:cs="Times New Roman"/>
        </w:rPr>
        <w:t xml:space="preserve"> Global asociada al </w:t>
      </w:r>
      <w:r w:rsidRPr="00880E47">
        <w:rPr>
          <w:rFonts w:ascii="Bookman Old Style" w:eastAsia="Times New Roman" w:hAnsi="Bookman Old Style" w:cs="Times New Roman"/>
        </w:rPr>
        <w:t>Plan de Desarrollo</w:t>
      </w:r>
      <w:r w:rsidRPr="00B428A6">
        <w:rPr>
          <w:rFonts w:ascii="Bookman Old Style" w:eastAsia="Times New Roman" w:hAnsi="Bookman Old Style" w:cs="Times New Roman"/>
        </w:rPr>
        <w:t xml:space="preserve"> se considera: Establecer convenios y/o alianzas público privadas, Prestar la Asistencia técnica para la Reconversión productiva, Capacitar a los productores rurales en BPG, BPA y BPM,</w:t>
      </w:r>
      <w:r>
        <w:rPr>
          <w:rFonts w:ascii="Bookman Old Style" w:eastAsia="Times New Roman" w:hAnsi="Bookman Old Style" w:cs="Times New Roman"/>
        </w:rPr>
        <w:t xml:space="preserve"> </w:t>
      </w:r>
      <w:r w:rsidRPr="00B428A6">
        <w:rPr>
          <w:rFonts w:ascii="Bookman Old Style" w:eastAsia="Times New Roman" w:hAnsi="Bookman Old Style" w:cs="Times New Roman"/>
        </w:rPr>
        <w:t>identificar líneas de producción alternativas a las convencionales y estudiar su introducción a los sistemas de producción campesinos,</w:t>
      </w:r>
      <w:r>
        <w:rPr>
          <w:rFonts w:ascii="Bookman Old Style" w:eastAsia="Times New Roman" w:hAnsi="Bookman Old Style" w:cs="Times New Roman"/>
        </w:rPr>
        <w:t xml:space="preserve"> </w:t>
      </w:r>
      <w:r w:rsidRPr="00B428A6">
        <w:rPr>
          <w:rFonts w:ascii="Bookman Old Style" w:eastAsia="Times New Roman" w:hAnsi="Bookman Old Style" w:cs="Times New Roman"/>
        </w:rPr>
        <w:t>desarrollar iniciativas de agregación de valor,</w:t>
      </w:r>
      <w:r>
        <w:rPr>
          <w:rFonts w:ascii="Bookman Old Style" w:eastAsia="Times New Roman" w:hAnsi="Bookman Old Style" w:cs="Times New Roman"/>
        </w:rPr>
        <w:t xml:space="preserve"> </w:t>
      </w:r>
      <w:r w:rsidRPr="00B428A6">
        <w:rPr>
          <w:rFonts w:ascii="Bookman Old Style" w:eastAsia="Times New Roman" w:hAnsi="Bookman Old Style" w:cs="Times New Roman"/>
        </w:rPr>
        <w:t>capacitación en temas de ordenamiento, gobernanza territorial, zonificación y planes de manejo,desarrollar procesos de asociatividad,diseñar herramientas para  proporcionar  capital semilla,desarrollar encuentros de experiencias de saberes entre productores ydiseñar mecanismos de financiación</w:t>
      </w:r>
    </w:p>
    <w:p w:rsidR="00880E47" w:rsidRPr="00880E47" w:rsidRDefault="00880E47" w:rsidP="00880E47">
      <w:pPr>
        <w:spacing w:after="0"/>
        <w:jc w:val="both"/>
        <w:rPr>
          <w:rFonts w:ascii="Bookman Old Style" w:eastAsia="Times New Roman" w:hAnsi="Bookman Old Style" w:cs="Times New Roman"/>
        </w:rPr>
      </w:pPr>
    </w:p>
    <w:p w:rsidR="0089260C" w:rsidRPr="00BF31BC" w:rsidRDefault="0089260C" w:rsidP="0089260C">
      <w:pPr>
        <w:spacing w:after="0"/>
        <w:jc w:val="center"/>
        <w:rPr>
          <w:rFonts w:ascii="Bookman Old Style" w:eastAsia="Times New Roman" w:hAnsi="Bookman Old Style" w:cs="Times New Roman"/>
          <w:b/>
          <w:color w:val="00B0F0"/>
          <w:sz w:val="20"/>
          <w:szCs w:val="20"/>
        </w:rPr>
      </w:pPr>
      <w:bookmarkStart w:id="4" w:name="_Toc453060607"/>
      <w:r w:rsidRPr="00BF31BC">
        <w:rPr>
          <w:rFonts w:ascii="Bookman Old Style" w:hAnsi="Bookman Old Style"/>
          <w:b/>
          <w:color w:val="4F81BD" w:themeColor="accent1"/>
          <w:sz w:val="20"/>
          <w:szCs w:val="20"/>
        </w:rPr>
        <w:t xml:space="preserve">Tabla </w:t>
      </w:r>
      <w:r>
        <w:rPr>
          <w:rFonts w:ascii="Bookman Old Style" w:hAnsi="Bookman Old Style"/>
          <w:b/>
          <w:color w:val="4F81BD" w:themeColor="accent1"/>
          <w:sz w:val="20"/>
          <w:szCs w:val="20"/>
        </w:rPr>
        <w:t>1</w:t>
      </w:r>
      <w:r w:rsidRPr="00BF31BC">
        <w:rPr>
          <w:rFonts w:ascii="Bookman Old Style" w:hAnsi="Bookman Old Style"/>
          <w:b/>
          <w:color w:val="4F81BD" w:themeColor="accent1"/>
          <w:sz w:val="20"/>
          <w:szCs w:val="20"/>
        </w:rPr>
        <w:t>. M</w:t>
      </w:r>
      <w:r w:rsidRPr="00BF31BC">
        <w:rPr>
          <w:rFonts w:ascii="Bookman Old Style" w:eastAsia="Times New Roman" w:hAnsi="Bookman Old Style" w:cs="Times New Roman"/>
          <w:b/>
          <w:color w:val="4F81BD" w:themeColor="accent1"/>
          <w:sz w:val="20"/>
          <w:szCs w:val="20"/>
        </w:rPr>
        <w:t>etas del proyecto de inversión</w:t>
      </w:r>
      <w:bookmarkEnd w:id="4"/>
    </w:p>
    <w:p w:rsidR="0089260C" w:rsidRPr="00B428A6" w:rsidRDefault="0089260C" w:rsidP="0089260C">
      <w:pPr>
        <w:spacing w:after="0"/>
        <w:jc w:val="both"/>
        <w:rPr>
          <w:rFonts w:ascii="Bookman Old Style" w:eastAsia="Times New Roman" w:hAnsi="Bookman Old Style" w:cs="Times New Roman"/>
          <w:b/>
          <w:color w:val="00B0F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86"/>
        <w:gridCol w:w="1626"/>
        <w:gridCol w:w="1326"/>
        <w:gridCol w:w="1613"/>
        <w:gridCol w:w="1494"/>
        <w:gridCol w:w="1809"/>
      </w:tblGrid>
      <w:tr w:rsidR="0089260C" w:rsidRPr="00F62039" w:rsidTr="00DE72C1">
        <w:tc>
          <w:tcPr>
            <w:tcW w:w="655" w:type="pct"/>
            <w:shd w:val="clear" w:color="auto" w:fill="8DB3E2" w:themeFill="text2" w:themeFillTint="66"/>
            <w:vAlign w:val="center"/>
          </w:tcPr>
          <w:p w:rsidR="0089260C" w:rsidRPr="00F62039" w:rsidRDefault="0089260C" w:rsidP="00DE72C1">
            <w:pPr>
              <w:jc w:val="center"/>
              <w:rPr>
                <w:rFonts w:ascii="Bookman Old Style" w:hAnsi="Bookman Old Style" w:cs="Times New Roman"/>
                <w:sz w:val="20"/>
              </w:rPr>
            </w:pPr>
            <w:r w:rsidRPr="00F62039">
              <w:rPr>
                <w:rFonts w:ascii="Bookman Old Style" w:eastAsia="Times New Roman" w:hAnsi="Bookman Old Style" w:cs="Times New Roman"/>
                <w:b/>
                <w:sz w:val="20"/>
              </w:rPr>
              <w:t>Tipo de Meta</w:t>
            </w:r>
          </w:p>
        </w:tc>
        <w:tc>
          <w:tcPr>
            <w:tcW w:w="898" w:type="pct"/>
            <w:shd w:val="clear" w:color="auto" w:fill="8DB3E2" w:themeFill="text2" w:themeFillTint="66"/>
            <w:vAlign w:val="center"/>
          </w:tcPr>
          <w:p w:rsidR="0089260C" w:rsidRPr="00F62039" w:rsidRDefault="0089260C" w:rsidP="00DE72C1">
            <w:pPr>
              <w:jc w:val="center"/>
              <w:rPr>
                <w:rFonts w:ascii="Bookman Old Style" w:hAnsi="Bookman Old Style" w:cs="Times New Roman"/>
                <w:sz w:val="20"/>
              </w:rPr>
            </w:pPr>
            <w:r w:rsidRPr="00F62039">
              <w:rPr>
                <w:rFonts w:ascii="Bookman Old Style" w:eastAsia="Times New Roman" w:hAnsi="Bookman Old Style" w:cs="Times New Roman"/>
                <w:b/>
                <w:sz w:val="20"/>
              </w:rPr>
              <w:t>Verbo</w:t>
            </w:r>
          </w:p>
        </w:tc>
        <w:tc>
          <w:tcPr>
            <w:tcW w:w="732" w:type="pct"/>
            <w:shd w:val="clear" w:color="auto" w:fill="8DB3E2" w:themeFill="text2" w:themeFillTint="66"/>
            <w:vAlign w:val="center"/>
          </w:tcPr>
          <w:p w:rsidR="0089260C" w:rsidRPr="00F62039" w:rsidRDefault="0089260C" w:rsidP="00DE72C1">
            <w:pPr>
              <w:jc w:val="center"/>
              <w:rPr>
                <w:rFonts w:ascii="Bookman Old Style" w:hAnsi="Bookman Old Style" w:cs="Times New Roman"/>
                <w:sz w:val="20"/>
              </w:rPr>
            </w:pPr>
            <w:r w:rsidRPr="00F62039">
              <w:rPr>
                <w:rFonts w:ascii="Bookman Old Style" w:eastAsia="Times New Roman" w:hAnsi="Bookman Old Style" w:cs="Times New Roman"/>
                <w:b/>
                <w:sz w:val="20"/>
              </w:rPr>
              <w:t>Magnitud</w:t>
            </w:r>
          </w:p>
        </w:tc>
        <w:tc>
          <w:tcPr>
            <w:tcW w:w="891" w:type="pct"/>
            <w:shd w:val="clear" w:color="auto" w:fill="8DB3E2" w:themeFill="text2" w:themeFillTint="66"/>
            <w:vAlign w:val="center"/>
          </w:tcPr>
          <w:p w:rsidR="0089260C" w:rsidRPr="00F62039" w:rsidRDefault="0089260C" w:rsidP="00DE72C1">
            <w:pPr>
              <w:jc w:val="center"/>
              <w:rPr>
                <w:rFonts w:ascii="Bookman Old Style" w:hAnsi="Bookman Old Style" w:cs="Times New Roman"/>
                <w:sz w:val="20"/>
              </w:rPr>
            </w:pPr>
            <w:r w:rsidRPr="00F62039">
              <w:rPr>
                <w:rFonts w:ascii="Bookman Old Style" w:eastAsia="Times New Roman" w:hAnsi="Bookman Old Style" w:cs="Times New Roman"/>
                <w:b/>
                <w:sz w:val="20"/>
              </w:rPr>
              <w:t>Unidad de medida</w:t>
            </w:r>
          </w:p>
        </w:tc>
        <w:tc>
          <w:tcPr>
            <w:tcW w:w="825" w:type="pct"/>
            <w:shd w:val="clear" w:color="auto" w:fill="8DB3E2" w:themeFill="text2" w:themeFillTint="66"/>
            <w:vAlign w:val="center"/>
          </w:tcPr>
          <w:p w:rsidR="0089260C" w:rsidRPr="00F62039" w:rsidRDefault="0089260C" w:rsidP="00DE72C1">
            <w:pPr>
              <w:jc w:val="center"/>
              <w:rPr>
                <w:rFonts w:ascii="Bookman Old Style" w:hAnsi="Bookman Old Style" w:cs="Times New Roman"/>
                <w:sz w:val="20"/>
              </w:rPr>
            </w:pPr>
            <w:r w:rsidRPr="00F62039">
              <w:rPr>
                <w:rFonts w:ascii="Bookman Old Style" w:eastAsia="Times New Roman" w:hAnsi="Bookman Old Style" w:cs="Times New Roman"/>
                <w:b/>
                <w:sz w:val="20"/>
              </w:rPr>
              <w:t>Descripción</w:t>
            </w:r>
          </w:p>
        </w:tc>
        <w:tc>
          <w:tcPr>
            <w:tcW w:w="999" w:type="pct"/>
            <w:shd w:val="clear" w:color="auto" w:fill="8DB3E2" w:themeFill="text2" w:themeFillTint="66"/>
            <w:vAlign w:val="center"/>
          </w:tcPr>
          <w:p w:rsidR="0089260C" w:rsidRPr="00F62039" w:rsidRDefault="0089260C" w:rsidP="00DE72C1">
            <w:pPr>
              <w:jc w:val="center"/>
              <w:rPr>
                <w:rFonts w:ascii="Bookman Old Style" w:hAnsi="Bookman Old Style" w:cs="Times New Roman"/>
                <w:sz w:val="20"/>
              </w:rPr>
            </w:pPr>
            <w:r w:rsidRPr="00F62039">
              <w:rPr>
                <w:rFonts w:ascii="Bookman Old Style" w:eastAsia="Times New Roman" w:hAnsi="Bookman Old Style" w:cs="Times New Roman"/>
                <w:b/>
                <w:sz w:val="20"/>
              </w:rPr>
              <w:t>Medio de verificación</w:t>
            </w:r>
          </w:p>
        </w:tc>
      </w:tr>
      <w:tr w:rsidR="0089260C" w:rsidRPr="00F62039" w:rsidTr="00DE72C1">
        <w:tc>
          <w:tcPr>
            <w:tcW w:w="655"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Suma</w:t>
            </w:r>
          </w:p>
        </w:tc>
        <w:tc>
          <w:tcPr>
            <w:tcW w:w="898"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Implementar</w:t>
            </w:r>
          </w:p>
        </w:tc>
        <w:tc>
          <w:tcPr>
            <w:tcW w:w="732"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80</w:t>
            </w:r>
          </w:p>
        </w:tc>
        <w:tc>
          <w:tcPr>
            <w:tcW w:w="891"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Unidades productivas</w:t>
            </w:r>
          </w:p>
        </w:tc>
        <w:tc>
          <w:tcPr>
            <w:tcW w:w="825"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Calibri" w:hAnsi="Bookman Old Style" w:cs="Times New Roman"/>
                <w:sz w:val="20"/>
              </w:rPr>
              <w:t>procesos de reconversión productiva</w:t>
            </w:r>
          </w:p>
        </w:tc>
        <w:tc>
          <w:tcPr>
            <w:tcW w:w="999" w:type="pct"/>
            <w:vAlign w:val="center"/>
          </w:tcPr>
          <w:p w:rsidR="0089260C" w:rsidRPr="00F62039" w:rsidRDefault="0089260C" w:rsidP="008D3531">
            <w:pPr>
              <w:jc w:val="both"/>
              <w:rPr>
                <w:rFonts w:ascii="Bookman Old Style" w:hAnsi="Bookman Old Style" w:cs="Times New Roman"/>
                <w:sz w:val="20"/>
              </w:rPr>
            </w:pPr>
            <w:r w:rsidRPr="00F62039">
              <w:rPr>
                <w:rFonts w:ascii="Bookman Old Style" w:eastAsia="Calibri" w:hAnsi="Bookman Old Style" w:cs="Times New Roman"/>
                <w:sz w:val="20"/>
              </w:rPr>
              <w:t>Registros del SUIM</w:t>
            </w:r>
            <w:r w:rsidR="008D3531">
              <w:rPr>
                <w:rFonts w:ascii="Bookman Old Style" w:eastAsia="Calibri" w:hAnsi="Bookman Old Style" w:cs="Times New Roman"/>
                <w:sz w:val="20"/>
              </w:rPr>
              <w:t xml:space="preserve"> y criterios de selección de unidades productivas.</w:t>
            </w:r>
            <w:r w:rsidRPr="00F62039">
              <w:rPr>
                <w:rFonts w:ascii="Bookman Old Style" w:eastAsia="Calibri" w:hAnsi="Bookman Old Style" w:cs="Times New Roman"/>
                <w:sz w:val="20"/>
              </w:rPr>
              <w:t xml:space="preserve"> reportados por la Subdirección de Desarrollo Socioeconómico</w:t>
            </w:r>
          </w:p>
        </w:tc>
      </w:tr>
      <w:tr w:rsidR="0089260C" w:rsidRPr="00F62039" w:rsidTr="00DE72C1">
        <w:tc>
          <w:tcPr>
            <w:tcW w:w="655"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Incremental</w:t>
            </w:r>
          </w:p>
        </w:tc>
        <w:tc>
          <w:tcPr>
            <w:tcW w:w="898"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Fortalecer</w:t>
            </w:r>
          </w:p>
        </w:tc>
        <w:tc>
          <w:tcPr>
            <w:tcW w:w="732"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60</w:t>
            </w:r>
          </w:p>
        </w:tc>
        <w:tc>
          <w:tcPr>
            <w:tcW w:w="891"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Unidades productivas</w:t>
            </w:r>
          </w:p>
        </w:tc>
        <w:tc>
          <w:tcPr>
            <w:tcW w:w="825"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vinculadas en   la adopción de  procesos de reconversión productiva</w:t>
            </w:r>
          </w:p>
        </w:tc>
        <w:tc>
          <w:tcPr>
            <w:tcW w:w="999"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Calibri" w:hAnsi="Bookman Old Style" w:cs="Times New Roman"/>
                <w:sz w:val="20"/>
              </w:rPr>
              <w:t>Índice de sostenibilidad de la LB vs Índice de sostenibilidad medido al finalizar el proceso</w:t>
            </w:r>
          </w:p>
        </w:tc>
      </w:tr>
      <w:tr w:rsidR="0089260C" w:rsidRPr="00F62039" w:rsidTr="00DE72C1">
        <w:tc>
          <w:tcPr>
            <w:tcW w:w="655" w:type="pct"/>
            <w:vAlign w:val="center"/>
          </w:tcPr>
          <w:p w:rsidR="0089260C" w:rsidRPr="00F62039" w:rsidRDefault="0089260C" w:rsidP="00DE72C1">
            <w:pPr>
              <w:jc w:val="both"/>
              <w:rPr>
                <w:rFonts w:ascii="Bookman Old Style" w:eastAsia="Times New Roman" w:hAnsi="Bookman Old Style" w:cs="Times New Roman"/>
                <w:sz w:val="20"/>
              </w:rPr>
            </w:pPr>
            <w:r>
              <w:rPr>
                <w:rFonts w:ascii="Bookman Old Style" w:eastAsia="Times New Roman" w:hAnsi="Bookman Old Style" w:cs="Times New Roman"/>
                <w:sz w:val="20"/>
              </w:rPr>
              <w:t>Constante</w:t>
            </w:r>
          </w:p>
          <w:p w:rsidR="0089260C" w:rsidRPr="00F62039" w:rsidRDefault="0089260C" w:rsidP="00DE72C1">
            <w:pPr>
              <w:jc w:val="both"/>
              <w:rPr>
                <w:rFonts w:ascii="Bookman Old Style" w:hAnsi="Bookman Old Style" w:cs="Times New Roman"/>
                <w:sz w:val="20"/>
              </w:rPr>
            </w:pPr>
          </w:p>
        </w:tc>
        <w:tc>
          <w:tcPr>
            <w:tcW w:w="898"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Aumentar</w:t>
            </w:r>
          </w:p>
        </w:tc>
        <w:tc>
          <w:tcPr>
            <w:tcW w:w="732"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20%</w:t>
            </w:r>
          </w:p>
        </w:tc>
        <w:tc>
          <w:tcPr>
            <w:tcW w:w="891"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el índice de sostenibilidad</w:t>
            </w:r>
          </w:p>
        </w:tc>
        <w:tc>
          <w:tcPr>
            <w:tcW w:w="825"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Times New Roman" w:hAnsi="Bookman Old Style" w:cs="Times New Roman"/>
                <w:sz w:val="20"/>
              </w:rPr>
              <w:t>de las Unidades productivas intervenidas</w:t>
            </w:r>
          </w:p>
        </w:tc>
        <w:tc>
          <w:tcPr>
            <w:tcW w:w="999" w:type="pct"/>
            <w:vAlign w:val="center"/>
          </w:tcPr>
          <w:p w:rsidR="0089260C" w:rsidRPr="00F62039" w:rsidRDefault="0089260C" w:rsidP="00DE72C1">
            <w:pPr>
              <w:jc w:val="both"/>
              <w:rPr>
                <w:rFonts w:ascii="Bookman Old Style" w:hAnsi="Bookman Old Style" w:cs="Times New Roman"/>
                <w:sz w:val="20"/>
              </w:rPr>
            </w:pPr>
            <w:r w:rsidRPr="00F62039">
              <w:rPr>
                <w:rFonts w:ascii="Bookman Old Style" w:eastAsia="Calibri" w:hAnsi="Bookman Old Style" w:cs="Times New Roman"/>
                <w:sz w:val="20"/>
              </w:rPr>
              <w:t>Batería de indicadores de sostenibilidad</w:t>
            </w:r>
          </w:p>
        </w:tc>
      </w:tr>
    </w:tbl>
    <w:p w:rsidR="0089260C" w:rsidRDefault="0089260C" w:rsidP="0089260C">
      <w:pPr>
        <w:spacing w:after="0"/>
        <w:jc w:val="both"/>
        <w:rPr>
          <w:rFonts w:ascii="Bookman Old Style" w:eastAsia="Times New Roman" w:hAnsi="Bookman Old Style" w:cs="Times New Roman"/>
          <w:b/>
        </w:rPr>
      </w:pPr>
    </w:p>
    <w:p w:rsidR="0089260C" w:rsidRDefault="0089260C" w:rsidP="0089260C">
      <w:pPr>
        <w:spacing w:after="0"/>
        <w:jc w:val="both"/>
        <w:rPr>
          <w:rFonts w:ascii="Bookman Old Style" w:eastAsia="Times New Roman" w:hAnsi="Bookman Old Style" w:cs="Times New Roman"/>
        </w:rPr>
      </w:pPr>
      <w:r w:rsidRPr="00F62039">
        <w:rPr>
          <w:rFonts w:ascii="Bookman Old Style" w:eastAsia="Times New Roman" w:hAnsi="Bookman Old Style" w:cs="Times New Roman"/>
          <w:b/>
        </w:rPr>
        <w:t>META 1:</w:t>
      </w:r>
      <w:r w:rsidRPr="00B428A6">
        <w:rPr>
          <w:rFonts w:ascii="Bookman Old Style" w:eastAsia="Times New Roman" w:hAnsi="Bookman Old Style" w:cs="Times New Roman"/>
        </w:rPr>
        <w:t xml:space="preserve">Para el cumplimiento de la meta 1, se considera “implementar” como garantizar que los beneficiarios articulados al proceso de reconversión productiva mejoren sus capacidades organizativas, técnico productivas y de conservación </w:t>
      </w:r>
      <w:r w:rsidRPr="00B428A6">
        <w:rPr>
          <w:rFonts w:ascii="Bookman Old Style" w:eastAsia="Times New Roman" w:hAnsi="Bookman Old Style" w:cs="Times New Roman"/>
        </w:rPr>
        <w:lastRenderedPageBreak/>
        <w:t xml:space="preserve">ambiental para su producción.  La actividad planteada para el desarrollo de esta meta se relaciona con la construcción de planes de finca que permitan la implementación de procesos de Reconversión Productiva y la incorporación a los Sistemas de Producción rural de alternativas productivas. </w:t>
      </w:r>
    </w:p>
    <w:p w:rsidR="0089260C" w:rsidRPr="00B428A6" w:rsidRDefault="0089260C" w:rsidP="0089260C">
      <w:pPr>
        <w:spacing w:after="0"/>
        <w:jc w:val="both"/>
        <w:rPr>
          <w:rFonts w:ascii="Bookman Old Style" w:hAnsi="Bookman Old Style" w:cs="Times New Roman"/>
        </w:rPr>
      </w:pPr>
    </w:p>
    <w:p w:rsidR="0089260C" w:rsidRPr="00B428A6" w:rsidRDefault="0089260C" w:rsidP="0089260C">
      <w:pPr>
        <w:spacing w:after="240"/>
        <w:jc w:val="both"/>
        <w:rPr>
          <w:rFonts w:ascii="Bookman Old Style" w:hAnsi="Bookman Old Style" w:cs="Times New Roman"/>
        </w:rPr>
      </w:pPr>
      <w:r w:rsidRPr="00F62039">
        <w:rPr>
          <w:rFonts w:ascii="Bookman Old Style" w:eastAsia="Times New Roman" w:hAnsi="Bookman Old Style" w:cs="Times New Roman"/>
          <w:b/>
        </w:rPr>
        <w:t>META 2:</w:t>
      </w:r>
      <w:r w:rsidRPr="00B428A6">
        <w:rPr>
          <w:rFonts w:ascii="Bookman Old Style" w:eastAsia="Times New Roman" w:hAnsi="Bookman Old Style" w:cs="Times New Roman"/>
        </w:rPr>
        <w:t xml:space="preserve">En el caso de la meta 2 se define </w:t>
      </w:r>
      <w:r w:rsidRPr="00B428A6">
        <w:rPr>
          <w:rFonts w:ascii="Bookman Old Style" w:eastAsia="Times New Roman" w:hAnsi="Bookman Old Style" w:cs="Times New Roman"/>
          <w:b/>
        </w:rPr>
        <w:t xml:space="preserve">“Fortalecer” </w:t>
      </w:r>
      <w:r w:rsidRPr="00B428A6">
        <w:rPr>
          <w:rFonts w:ascii="Bookman Old Style" w:eastAsia="Times New Roman" w:hAnsi="Bookman Old Style" w:cs="Times New Roman"/>
        </w:rPr>
        <w:t>como capacitar, acompañar, asesorar y asistir técnicamente en temas relacionados con la reconversión productiva que contribuya en el aumento del índice de sostenibilidad de las unidades productivas como BPG, BPA, iniciativas de agregación de valor, comercialización, alternativas productivas, ordenamiento y planificación predial con enfoque territorial a los beneficiarios del proyecto.</w:t>
      </w:r>
    </w:p>
    <w:p w:rsidR="0089260C" w:rsidRPr="00B428A6" w:rsidRDefault="0089260C" w:rsidP="0089260C">
      <w:pPr>
        <w:spacing w:after="0"/>
        <w:jc w:val="both"/>
        <w:rPr>
          <w:rFonts w:ascii="Bookman Old Style" w:hAnsi="Bookman Old Style" w:cs="Times New Roman"/>
        </w:rPr>
      </w:pPr>
      <w:r w:rsidRPr="00B428A6">
        <w:rPr>
          <w:rFonts w:ascii="Bookman Old Style" w:eastAsia="Times New Roman" w:hAnsi="Bookman Old Style" w:cs="Times New Roman"/>
        </w:rPr>
        <w:t xml:space="preserve">Dentro de las actividades planteadas para dar cumplimiento a la </w:t>
      </w:r>
      <w:r w:rsidRPr="00F62039">
        <w:rPr>
          <w:rFonts w:ascii="Bookman Old Style" w:eastAsia="Times New Roman" w:hAnsi="Bookman Old Style" w:cs="Times New Roman"/>
          <w:b/>
        </w:rPr>
        <w:t>Meta</w:t>
      </w:r>
      <w:r w:rsidRPr="00B428A6">
        <w:rPr>
          <w:rFonts w:ascii="Bookman Old Style" w:eastAsia="Times New Roman" w:hAnsi="Bookman Old Style" w:cs="Times New Roman"/>
        </w:rPr>
        <w:t xml:space="preserve"> Global asociada al </w:t>
      </w:r>
      <w:r w:rsidRPr="00F62039">
        <w:rPr>
          <w:rFonts w:ascii="Bookman Old Style" w:eastAsia="Times New Roman" w:hAnsi="Bookman Old Style" w:cs="Times New Roman"/>
          <w:b/>
        </w:rPr>
        <w:t>Plan de Desarrollo</w:t>
      </w:r>
      <w:r w:rsidRPr="00B428A6">
        <w:rPr>
          <w:rFonts w:ascii="Bookman Old Style" w:eastAsia="Times New Roman" w:hAnsi="Bookman Old Style" w:cs="Times New Roman"/>
        </w:rPr>
        <w:t xml:space="preserve"> se considera: Establecer convenios y/o alianzas público privadas, Prestar la Asistencia técnica para la Reconversión productiva, Capacitar a los productores rurales en BPG, BPA y BPM,identificar líneas de producción alternativas a las convencionales y estudiar su introducción a los sistemas de producción campesinos,desarrollar iniciativas de agregación de valor,capacitación en temas de ordenamiento, gobernanza territorial, zonificación y planes de manejo,desarrollar procesos de asociatividad,diseñar herramientas para  proporcionar  capital semilla,desarrollar encuentros de experiencias de saberes entre productores ydiseñar mecanismos de financiación. </w:t>
      </w:r>
    </w:p>
    <w:p w:rsidR="0089260C" w:rsidRDefault="0089260C" w:rsidP="0089260C"/>
    <w:p w:rsidR="00C925A2" w:rsidRPr="00C925A2" w:rsidRDefault="00C925A2" w:rsidP="0089260C">
      <w:pPr>
        <w:rPr>
          <w:rFonts w:eastAsiaTheme="minorHAnsi" w:cs="Times New Roman"/>
          <w:b/>
          <w:bCs/>
          <w:color w:val="00B0F0"/>
          <w:sz w:val="24"/>
          <w:szCs w:val="24"/>
          <w:u w:val="single"/>
        </w:rPr>
      </w:pPr>
      <w:r w:rsidRPr="00C925A2">
        <w:rPr>
          <w:rFonts w:eastAsiaTheme="minorHAnsi" w:cs="Times New Roman"/>
          <w:b/>
          <w:bCs/>
          <w:color w:val="00B0F0"/>
          <w:sz w:val="24"/>
          <w:szCs w:val="24"/>
          <w:u w:val="single"/>
        </w:rPr>
        <w:t>INDI</w:t>
      </w:r>
      <w:r>
        <w:rPr>
          <w:rFonts w:eastAsiaTheme="minorHAnsi" w:cs="Times New Roman"/>
          <w:b/>
          <w:bCs/>
          <w:color w:val="00B0F0"/>
          <w:sz w:val="24"/>
          <w:szCs w:val="24"/>
          <w:u w:val="single"/>
        </w:rPr>
        <w:t>C</w:t>
      </w:r>
      <w:r w:rsidRPr="00C925A2">
        <w:rPr>
          <w:rFonts w:eastAsiaTheme="minorHAnsi" w:cs="Times New Roman"/>
          <w:b/>
          <w:bCs/>
          <w:color w:val="00B0F0"/>
          <w:sz w:val="24"/>
          <w:szCs w:val="24"/>
          <w:u w:val="single"/>
        </w:rPr>
        <w:t>ADORES DE GESTIÓN</w:t>
      </w:r>
    </w:p>
    <w:p w:rsidR="0089260C" w:rsidRDefault="0089260C" w:rsidP="0089260C">
      <w:pPr>
        <w:rPr>
          <w:rFonts w:ascii="Bookman Old Style" w:eastAsia="Times New Roman" w:hAnsi="Bookman Old Style" w:cs="Times New Roman"/>
        </w:rPr>
      </w:pPr>
      <w:r w:rsidRPr="001B657E">
        <w:rPr>
          <w:rFonts w:ascii="Bookman Old Style" w:eastAsia="Times New Roman" w:hAnsi="Bookman Old Style" w:cs="Times New Roman"/>
        </w:rPr>
        <w:t>El Proyecto de Inversión: 1025 - “Generación de alternativas productivas de desarrollo sostenible para la ruralidad bogotana</w:t>
      </w:r>
      <w:r w:rsidR="001B657E">
        <w:rPr>
          <w:rFonts w:ascii="Bookman Old Style" w:eastAsia="Times New Roman" w:hAnsi="Bookman Old Style" w:cs="Times New Roman"/>
        </w:rPr>
        <w:t>, en su Meta Plan contempla:</w:t>
      </w:r>
    </w:p>
    <w:p w:rsidR="001B657E" w:rsidRDefault="001B657E" w:rsidP="001B657E">
      <w:pPr>
        <w:pStyle w:val="Ttulo2"/>
        <w:ind w:left="576" w:hanging="576"/>
        <w:rPr>
          <w:rFonts w:asciiTheme="minorHAnsi" w:eastAsiaTheme="minorHAnsi" w:hAnsiTheme="minorHAnsi" w:cs="Times New Roman"/>
          <w:color w:val="00B0F0"/>
          <w:sz w:val="24"/>
          <w:szCs w:val="24"/>
          <w:u w:val="single"/>
        </w:rPr>
      </w:pPr>
      <w:r w:rsidRPr="00F1284C">
        <w:rPr>
          <w:rFonts w:asciiTheme="minorHAnsi" w:eastAsiaTheme="minorHAnsi" w:hAnsiTheme="minorHAnsi" w:cs="Times New Roman"/>
          <w:color w:val="00B0F0"/>
          <w:sz w:val="24"/>
          <w:szCs w:val="24"/>
          <w:u w:val="single"/>
        </w:rPr>
        <w:t>1.1 Meta Plan:</w:t>
      </w:r>
    </w:p>
    <w:p w:rsidR="00C925A2" w:rsidRPr="00C925A2" w:rsidRDefault="00C925A2" w:rsidP="00C925A2"/>
    <w:p w:rsidR="001B657E" w:rsidRPr="00C925A2" w:rsidRDefault="001B657E" w:rsidP="00C925A2">
      <w:pPr>
        <w:spacing w:after="0" w:line="240" w:lineRule="auto"/>
        <w:jc w:val="center"/>
        <w:rPr>
          <w:rFonts w:ascii="Times New Roman" w:hAnsi="Times New Roman" w:cs="Times New Roman"/>
          <w:b/>
        </w:rPr>
      </w:pPr>
      <w:r w:rsidRPr="00C925A2">
        <w:rPr>
          <w:rFonts w:ascii="Times New Roman" w:hAnsi="Times New Roman" w:cs="Times New Roman"/>
          <w:b/>
        </w:rPr>
        <w:t>Implementar en 80 unidades agrícolas familiares procesos de reconversión productiva</w:t>
      </w:r>
    </w:p>
    <w:p w:rsidR="001B657E" w:rsidRDefault="001B657E" w:rsidP="0089260C">
      <w:pPr>
        <w:rPr>
          <w:rFonts w:ascii="Bookman Old Style" w:eastAsia="Times New Roman" w:hAnsi="Bookman Old Style" w:cs="Times New Roman"/>
        </w:rPr>
      </w:pPr>
    </w:p>
    <w:p w:rsidR="001B657E" w:rsidRPr="001B657E" w:rsidRDefault="001B657E" w:rsidP="000C5AFB">
      <w:pPr>
        <w:tabs>
          <w:tab w:val="left" w:pos="284"/>
        </w:tabs>
        <w:jc w:val="both"/>
        <w:rPr>
          <w:rFonts w:ascii="Bookman Old Style" w:eastAsia="Times New Roman" w:hAnsi="Bookman Old Style" w:cs="Times New Roman"/>
        </w:rPr>
      </w:pPr>
      <w:r>
        <w:rPr>
          <w:rFonts w:ascii="Bookman Old Style" w:eastAsia="Times New Roman" w:hAnsi="Bookman Old Style" w:cs="Times New Roman"/>
        </w:rPr>
        <w:t xml:space="preserve">Por parte de la Oficina Asesora de Planeación de la (SDDE-OAP) se maneja un </w:t>
      </w:r>
      <w:r w:rsidRPr="001B657E">
        <w:rPr>
          <w:rFonts w:eastAsiaTheme="minorHAnsi" w:cs="Times New Roman"/>
          <w:b/>
          <w:bCs/>
          <w:color w:val="00B0F0"/>
          <w:sz w:val="24"/>
          <w:szCs w:val="24"/>
        </w:rPr>
        <w:t xml:space="preserve">REPORTE SEGPLAN </w:t>
      </w:r>
      <w:r>
        <w:rPr>
          <w:rFonts w:eastAsiaTheme="minorHAnsi" w:cs="Times New Roman"/>
          <w:b/>
          <w:bCs/>
          <w:color w:val="00B0F0"/>
          <w:sz w:val="24"/>
          <w:szCs w:val="24"/>
        </w:rPr>
        <w:t xml:space="preserve">MENSUAL, </w:t>
      </w:r>
      <w:r w:rsidRPr="001B657E">
        <w:rPr>
          <w:rFonts w:ascii="Bookman Old Style" w:eastAsia="Times New Roman" w:hAnsi="Bookman Old Style" w:cs="Times New Roman"/>
        </w:rPr>
        <w:t xml:space="preserve">el cuál  </w:t>
      </w:r>
      <w:r>
        <w:rPr>
          <w:rFonts w:ascii="Bookman Old Style" w:eastAsia="Times New Roman" w:hAnsi="Bookman Old Style" w:cs="Times New Roman"/>
        </w:rPr>
        <w:t xml:space="preserve">permite identificar </w:t>
      </w:r>
      <w:r w:rsidR="000C5AFB">
        <w:rPr>
          <w:rFonts w:ascii="Bookman Old Style" w:eastAsia="Times New Roman" w:hAnsi="Bookman Old Style" w:cs="Times New Roman"/>
        </w:rPr>
        <w:t>el número de unidades Implementadas, teniendo encuentra los recursos de la vigencia como los recursos de la reserva.</w:t>
      </w:r>
      <w:r w:rsidR="000C5AFB" w:rsidRPr="001B657E">
        <w:rPr>
          <w:rFonts w:ascii="Bookman Old Style" w:eastAsia="Times New Roman" w:hAnsi="Bookman Old Style" w:cs="Times New Roman"/>
        </w:rPr>
        <w:t xml:space="preserve"> </w:t>
      </w:r>
    </w:p>
    <w:p w:rsidR="00566EF3" w:rsidRDefault="00566EF3" w:rsidP="00C925A2">
      <w:pPr>
        <w:pStyle w:val="Prrafodelista"/>
        <w:autoSpaceDE w:val="0"/>
        <w:autoSpaceDN w:val="0"/>
        <w:adjustRightInd w:val="0"/>
        <w:spacing w:after="0" w:line="240" w:lineRule="auto"/>
        <w:ind w:left="0"/>
        <w:jc w:val="both"/>
        <w:rPr>
          <w:rFonts w:cs="Times New Roman"/>
          <w:b/>
          <w:color w:val="00B0F0"/>
          <w:sz w:val="24"/>
          <w:szCs w:val="24"/>
          <w:u w:val="single"/>
        </w:rPr>
      </w:pPr>
    </w:p>
    <w:p w:rsidR="00566EF3" w:rsidRDefault="00566EF3" w:rsidP="00C925A2">
      <w:pPr>
        <w:pStyle w:val="Prrafodelista"/>
        <w:autoSpaceDE w:val="0"/>
        <w:autoSpaceDN w:val="0"/>
        <w:adjustRightInd w:val="0"/>
        <w:spacing w:after="0" w:line="240" w:lineRule="auto"/>
        <w:ind w:left="0"/>
        <w:jc w:val="both"/>
        <w:rPr>
          <w:rFonts w:cs="Times New Roman"/>
          <w:b/>
          <w:color w:val="00B0F0"/>
          <w:sz w:val="24"/>
          <w:szCs w:val="24"/>
          <w:u w:val="single"/>
        </w:rPr>
      </w:pPr>
    </w:p>
    <w:p w:rsidR="00566EF3" w:rsidRDefault="00566EF3" w:rsidP="00C925A2">
      <w:pPr>
        <w:pStyle w:val="Prrafodelista"/>
        <w:autoSpaceDE w:val="0"/>
        <w:autoSpaceDN w:val="0"/>
        <w:adjustRightInd w:val="0"/>
        <w:spacing w:after="0" w:line="240" w:lineRule="auto"/>
        <w:ind w:left="0"/>
        <w:jc w:val="both"/>
        <w:rPr>
          <w:rFonts w:cs="Times New Roman"/>
          <w:b/>
          <w:color w:val="00B0F0"/>
          <w:sz w:val="24"/>
          <w:szCs w:val="24"/>
          <w:u w:val="single"/>
        </w:rPr>
      </w:pPr>
    </w:p>
    <w:p w:rsidR="00C925A2" w:rsidRDefault="000C5AFB" w:rsidP="00C925A2">
      <w:pPr>
        <w:pStyle w:val="Prrafodelista"/>
        <w:autoSpaceDE w:val="0"/>
        <w:autoSpaceDN w:val="0"/>
        <w:adjustRightInd w:val="0"/>
        <w:spacing w:after="0" w:line="240" w:lineRule="auto"/>
        <w:ind w:left="0"/>
        <w:jc w:val="both"/>
        <w:rPr>
          <w:rFonts w:cs="Times New Roman"/>
          <w:b/>
          <w:color w:val="00B0F0"/>
          <w:sz w:val="24"/>
          <w:szCs w:val="24"/>
          <w:u w:val="single"/>
        </w:rPr>
      </w:pPr>
      <w:r>
        <w:rPr>
          <w:rFonts w:cs="Times New Roman"/>
          <w:b/>
          <w:color w:val="00B0F0"/>
          <w:sz w:val="24"/>
          <w:szCs w:val="24"/>
          <w:u w:val="single"/>
        </w:rPr>
        <w:t>1.</w:t>
      </w:r>
      <w:r w:rsidR="00C925A2" w:rsidRPr="00015627">
        <w:rPr>
          <w:rFonts w:cs="Times New Roman"/>
          <w:b/>
          <w:color w:val="00B0F0"/>
          <w:sz w:val="24"/>
          <w:szCs w:val="24"/>
          <w:u w:val="single"/>
        </w:rPr>
        <w:t>2 Meta proyecto:</w:t>
      </w:r>
    </w:p>
    <w:p w:rsidR="00C925A2" w:rsidRDefault="00C925A2" w:rsidP="00C925A2">
      <w:pPr>
        <w:pStyle w:val="Prrafodelista"/>
        <w:autoSpaceDE w:val="0"/>
        <w:autoSpaceDN w:val="0"/>
        <w:adjustRightInd w:val="0"/>
        <w:spacing w:after="0" w:line="240" w:lineRule="auto"/>
        <w:ind w:left="0"/>
        <w:jc w:val="both"/>
        <w:rPr>
          <w:rFonts w:ascii="Times New Roman" w:hAnsi="Times New Roman" w:cs="Times New Roman"/>
          <w:b/>
          <w:color w:val="00B0F0"/>
        </w:rPr>
      </w:pPr>
    </w:p>
    <w:p w:rsidR="00C925A2" w:rsidRPr="00015627" w:rsidRDefault="00C925A2" w:rsidP="00C925A2">
      <w:pPr>
        <w:pStyle w:val="Prrafodelista"/>
        <w:autoSpaceDE w:val="0"/>
        <w:autoSpaceDN w:val="0"/>
        <w:adjustRightInd w:val="0"/>
        <w:spacing w:after="0" w:line="240" w:lineRule="auto"/>
        <w:ind w:left="0"/>
        <w:jc w:val="both"/>
        <w:rPr>
          <w:rFonts w:ascii="Times New Roman" w:hAnsi="Times New Roman" w:cs="Times New Roman"/>
          <w:b/>
          <w:color w:val="000000" w:themeColor="text1"/>
        </w:rPr>
      </w:pPr>
      <w:r w:rsidRPr="00015627">
        <w:rPr>
          <w:rFonts w:ascii="Times New Roman" w:hAnsi="Times New Roman" w:cs="Times New Roman"/>
          <w:b/>
          <w:color w:val="000000" w:themeColor="text1"/>
        </w:rPr>
        <w:lastRenderedPageBreak/>
        <w:t>Fortalecer 60 Unidades productivas vinculadas en la adopción de procesos de Reconversión productiva.</w:t>
      </w:r>
    </w:p>
    <w:p w:rsidR="0089260C" w:rsidRPr="001B657E" w:rsidRDefault="0089260C" w:rsidP="007B6AA5">
      <w:pPr>
        <w:spacing w:after="0"/>
        <w:jc w:val="both"/>
        <w:rPr>
          <w:rFonts w:ascii="Bookman Old Style" w:eastAsia="Times New Roman" w:hAnsi="Bookman Old Style" w:cs="Times New Roman"/>
        </w:rPr>
      </w:pPr>
    </w:p>
    <w:p w:rsidR="00F87071" w:rsidRDefault="00C925A2" w:rsidP="000C5AFB">
      <w:pPr>
        <w:jc w:val="both"/>
        <w:rPr>
          <w:rFonts w:ascii="Bookman Old Style" w:eastAsia="Times New Roman" w:hAnsi="Bookman Old Style" w:cs="Times New Roman"/>
        </w:rPr>
      </w:pPr>
      <w:r>
        <w:rPr>
          <w:rFonts w:ascii="Bookman Old Style" w:eastAsia="Times New Roman" w:hAnsi="Bookman Old Style" w:cs="Times New Roman"/>
        </w:rPr>
        <w:t xml:space="preserve">Con respecto a la Meta de  fortalecimiento el  </w:t>
      </w:r>
      <w:r w:rsidRPr="001B657E">
        <w:rPr>
          <w:rFonts w:eastAsiaTheme="minorHAnsi" w:cs="Times New Roman"/>
          <w:b/>
          <w:bCs/>
          <w:color w:val="00B0F0"/>
          <w:sz w:val="24"/>
          <w:szCs w:val="24"/>
        </w:rPr>
        <w:t xml:space="preserve">REPORTE SEGPLAN </w:t>
      </w:r>
      <w:r>
        <w:rPr>
          <w:rFonts w:eastAsiaTheme="minorHAnsi" w:cs="Times New Roman"/>
          <w:b/>
          <w:bCs/>
          <w:color w:val="00B0F0"/>
          <w:sz w:val="24"/>
          <w:szCs w:val="24"/>
        </w:rPr>
        <w:t xml:space="preserve">MENSUAL, </w:t>
      </w:r>
      <w:r w:rsidRPr="001B657E">
        <w:rPr>
          <w:rFonts w:ascii="Bookman Old Style" w:eastAsia="Times New Roman" w:hAnsi="Bookman Old Style" w:cs="Times New Roman"/>
        </w:rPr>
        <w:t xml:space="preserve">  </w:t>
      </w:r>
      <w:r w:rsidR="000C5AFB">
        <w:rPr>
          <w:rFonts w:ascii="Bookman Old Style" w:eastAsia="Times New Roman" w:hAnsi="Bookman Old Style" w:cs="Times New Roman"/>
        </w:rPr>
        <w:t>permite</w:t>
      </w:r>
      <w:r>
        <w:rPr>
          <w:rFonts w:ascii="Bookman Old Style" w:eastAsia="Times New Roman" w:hAnsi="Bookman Old Style" w:cs="Times New Roman"/>
        </w:rPr>
        <w:t xml:space="preserve"> identificar </w:t>
      </w:r>
      <w:r w:rsidR="000C5AFB">
        <w:rPr>
          <w:rFonts w:ascii="Bookman Old Style" w:eastAsia="Times New Roman" w:hAnsi="Bookman Old Style" w:cs="Times New Roman"/>
        </w:rPr>
        <w:t>el número total de unidades fortalecidas</w:t>
      </w:r>
      <w:r w:rsidR="00880E47">
        <w:rPr>
          <w:rFonts w:ascii="Bookman Old Style" w:eastAsia="Times New Roman" w:hAnsi="Bookman Old Style" w:cs="Times New Roman"/>
        </w:rPr>
        <w:t>.</w:t>
      </w:r>
    </w:p>
    <w:p w:rsidR="008D3531" w:rsidRDefault="008D3531" w:rsidP="00880E47">
      <w:pPr>
        <w:pStyle w:val="Prrafodelista"/>
        <w:autoSpaceDE w:val="0"/>
        <w:autoSpaceDN w:val="0"/>
        <w:adjustRightInd w:val="0"/>
        <w:spacing w:after="0" w:line="240" w:lineRule="auto"/>
        <w:ind w:left="0"/>
        <w:jc w:val="both"/>
        <w:rPr>
          <w:rFonts w:cs="Times New Roman"/>
          <w:b/>
          <w:color w:val="00B0F0"/>
          <w:sz w:val="24"/>
          <w:szCs w:val="24"/>
          <w:u w:val="single"/>
        </w:rPr>
      </w:pPr>
    </w:p>
    <w:p w:rsidR="00880E47" w:rsidRDefault="00880E47" w:rsidP="00880E47">
      <w:pPr>
        <w:pStyle w:val="Prrafodelista"/>
        <w:autoSpaceDE w:val="0"/>
        <w:autoSpaceDN w:val="0"/>
        <w:adjustRightInd w:val="0"/>
        <w:spacing w:after="0" w:line="240" w:lineRule="auto"/>
        <w:ind w:left="0"/>
        <w:jc w:val="both"/>
        <w:rPr>
          <w:rFonts w:cs="Times New Roman"/>
          <w:b/>
          <w:color w:val="00B0F0"/>
          <w:sz w:val="24"/>
          <w:szCs w:val="24"/>
          <w:u w:val="single"/>
        </w:rPr>
      </w:pPr>
      <w:r w:rsidRPr="00880E47">
        <w:rPr>
          <w:rFonts w:cs="Times New Roman"/>
          <w:b/>
          <w:color w:val="00B0F0"/>
          <w:sz w:val="24"/>
          <w:szCs w:val="24"/>
          <w:u w:val="single"/>
        </w:rPr>
        <w:t>1.3 Aumentar en un 20% el índice de sostenibilidad</w:t>
      </w:r>
    </w:p>
    <w:p w:rsidR="008D3531" w:rsidRPr="00880E47" w:rsidRDefault="008D3531" w:rsidP="00880E47">
      <w:pPr>
        <w:pStyle w:val="Prrafodelista"/>
        <w:autoSpaceDE w:val="0"/>
        <w:autoSpaceDN w:val="0"/>
        <w:adjustRightInd w:val="0"/>
        <w:spacing w:after="0" w:line="240" w:lineRule="auto"/>
        <w:ind w:left="0"/>
        <w:jc w:val="both"/>
        <w:rPr>
          <w:rFonts w:cs="Times New Roman"/>
          <w:b/>
          <w:color w:val="00B0F0"/>
          <w:sz w:val="24"/>
          <w:szCs w:val="24"/>
          <w:u w:val="single"/>
        </w:rPr>
      </w:pPr>
    </w:p>
    <w:p w:rsidR="00880E47" w:rsidRPr="00385184" w:rsidRDefault="00880E47" w:rsidP="00880E47">
      <w:pPr>
        <w:spacing w:line="240" w:lineRule="auto"/>
        <w:rPr>
          <w:rFonts w:ascii="Arial" w:hAnsi="Arial" w:cs="Arial"/>
          <w:color w:val="0F243E" w:themeColor="text2" w:themeShade="80"/>
        </w:rPr>
      </w:pPr>
      <w:r w:rsidRPr="00385184">
        <w:rPr>
          <w:rFonts w:ascii="Arial" w:hAnsi="Arial" w:cs="Arial"/>
          <w:color w:val="0F243E" w:themeColor="text2" w:themeShade="80"/>
        </w:rPr>
        <w:t>INDICADORES DE SOSTENIBILIDAD PARA LA RURALIDAD BOGOTANA</w:t>
      </w:r>
    </w:p>
    <w:p w:rsidR="00880E47" w:rsidRDefault="00880E47" w:rsidP="00566EF3">
      <w:pPr>
        <w:spacing w:after="0"/>
        <w:jc w:val="both"/>
        <w:rPr>
          <w:rFonts w:ascii="Bookman Old Style" w:eastAsia="Times New Roman" w:hAnsi="Bookman Old Style" w:cs="Times New Roman"/>
        </w:rPr>
      </w:pPr>
      <w:r w:rsidRPr="00566EF3">
        <w:rPr>
          <w:rFonts w:ascii="Bookman Old Style" w:eastAsia="Times New Roman" w:hAnsi="Bookman Old Style" w:cs="Times New Roman"/>
        </w:rPr>
        <w:t xml:space="preserve">Los indicadores de sostenibilidad, se plantean como un instrumento que permita evaluar los avances sobre el camino hacia un nuevo paradigma de desarrollo. En este sentido, la </w:t>
      </w:r>
      <w:r w:rsidRPr="00566EF3">
        <w:rPr>
          <w:rFonts w:ascii="Bookman Old Style" w:eastAsia="Times New Roman" w:hAnsi="Bookman Old Style" w:cs="Times New Roman"/>
          <w:b/>
        </w:rPr>
        <w:t>batería de Indicadores de Sostenibilidad</w:t>
      </w:r>
      <w:r w:rsidRPr="00566EF3">
        <w:rPr>
          <w:rFonts w:ascii="Bookman Old Style" w:eastAsia="Times New Roman" w:hAnsi="Bookman Old Style" w:cs="Times New Roman"/>
        </w:rPr>
        <w:t xml:space="preserve"> que se ha diseñado conjuntamente con el equipo de la Subdirección de Economía Rural, Dirección de Estudios Socioeconómicos y el apoyo de la Secretaría Distrital de Ambiente; permitiendo construir modelos analíticos y funcionales hacia la generación de alternativas productivas sostenibles para la ruralidad bogotana</w:t>
      </w:r>
      <w:r w:rsidR="00566EF3">
        <w:rPr>
          <w:rFonts w:ascii="Bookman Old Style" w:eastAsia="Times New Roman" w:hAnsi="Bookman Old Style" w:cs="Times New Roman"/>
        </w:rPr>
        <w:t>.</w:t>
      </w:r>
    </w:p>
    <w:p w:rsidR="00566EF3" w:rsidRPr="00566EF3" w:rsidRDefault="00566EF3" w:rsidP="00566EF3">
      <w:pPr>
        <w:spacing w:after="0"/>
        <w:jc w:val="both"/>
        <w:rPr>
          <w:rFonts w:ascii="Bookman Old Style" w:eastAsia="Times New Roman" w:hAnsi="Bookman Old Style" w:cs="Times New Roman"/>
        </w:rPr>
      </w:pPr>
    </w:p>
    <w:p w:rsidR="007E6D1C" w:rsidRPr="007E6D1C" w:rsidRDefault="00880E47" w:rsidP="007E6D1C">
      <w:pPr>
        <w:tabs>
          <w:tab w:val="left" w:pos="2385"/>
        </w:tabs>
        <w:jc w:val="both"/>
        <w:rPr>
          <w:rFonts w:ascii="Bookman Old Style" w:eastAsia="Times New Roman" w:hAnsi="Bookman Old Style" w:cs="Times New Roman"/>
        </w:rPr>
      </w:pPr>
      <w:r w:rsidRPr="00566EF3">
        <w:rPr>
          <w:rFonts w:ascii="Bookman Old Style" w:eastAsia="Times New Roman" w:hAnsi="Bookman Old Style" w:cs="Times New Roman"/>
        </w:rPr>
        <w:t>En razón de lo expuesto, la Secretaría Distrital de Desarrollo Económico ha adelantado procesos diagnósticos en los predios intervenidos a través del proyecto de reconversión productiva y se proyecta un acompañamiento constante en miras de fortalecer los criterios de sostenibilidad para la ruralidad bogotana. En consecuencia, la batería de indicadore</w:t>
      </w:r>
      <w:r w:rsidR="007E6D1C">
        <w:rPr>
          <w:rFonts w:ascii="Bookman Old Style" w:eastAsia="Times New Roman" w:hAnsi="Bookman Old Style" w:cs="Times New Roman"/>
        </w:rPr>
        <w:t xml:space="preserve">s de sostenibilidad se construyo </w:t>
      </w:r>
      <w:r w:rsidR="007E6D1C" w:rsidRPr="007E6D1C">
        <w:rPr>
          <w:rFonts w:ascii="Bookman Old Style" w:eastAsia="Times New Roman" w:hAnsi="Bookman Old Style" w:cs="Times New Roman"/>
        </w:rPr>
        <w:t xml:space="preserve">con cuatro componentes transversales de sostenibilidad: (i) Componente Ambiental; (ii) Componente Técnico-Productivo; (iii) Componente Social; y (iv) Componente Económico. Tales componentes se presentan de manera articulada sobre una serie de criterios e indicadores que se relacionan a través de la matriz de medición y su relación porcentual, permitiendo construir modelos cuantitativos sobre las estrategias de fortalecimiento por predio. </w:t>
      </w:r>
    </w:p>
    <w:p w:rsidR="00880E47" w:rsidRPr="00566EF3" w:rsidRDefault="00880E47" w:rsidP="00566EF3">
      <w:pPr>
        <w:spacing w:after="0"/>
        <w:jc w:val="both"/>
        <w:rPr>
          <w:rFonts w:ascii="Bookman Old Style" w:eastAsia="Times New Roman" w:hAnsi="Bookman Old Style" w:cs="Times New Roman"/>
        </w:rPr>
      </w:pPr>
    </w:p>
    <w:p w:rsidR="00880E47" w:rsidRPr="00566EF3" w:rsidRDefault="00880E47" w:rsidP="00566EF3">
      <w:pPr>
        <w:spacing w:after="0"/>
        <w:jc w:val="both"/>
        <w:rPr>
          <w:rFonts w:ascii="Bookman Old Style" w:eastAsia="Times New Roman" w:hAnsi="Bookman Old Style" w:cs="Times New Roman"/>
        </w:rPr>
      </w:pPr>
    </w:p>
    <w:sectPr w:rsidR="00880E47" w:rsidRPr="00566EF3" w:rsidSect="00396B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51C" w:rsidRDefault="00A5151C" w:rsidP="00880E47">
      <w:pPr>
        <w:spacing w:after="0" w:line="240" w:lineRule="auto"/>
      </w:pPr>
      <w:r>
        <w:separator/>
      </w:r>
    </w:p>
  </w:endnote>
  <w:endnote w:type="continuationSeparator" w:id="1">
    <w:p w:rsidR="00A5151C" w:rsidRDefault="00A5151C" w:rsidP="00880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Domin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51C" w:rsidRDefault="00A5151C" w:rsidP="00880E47">
      <w:pPr>
        <w:spacing w:after="0" w:line="240" w:lineRule="auto"/>
      </w:pPr>
      <w:r>
        <w:separator/>
      </w:r>
    </w:p>
  </w:footnote>
  <w:footnote w:type="continuationSeparator" w:id="1">
    <w:p w:rsidR="00A5151C" w:rsidRDefault="00A5151C" w:rsidP="00880E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453D9"/>
    <w:multiLevelType w:val="multilevel"/>
    <w:tmpl w:val="C8529B06"/>
    <w:lvl w:ilvl="0">
      <w:start w:val="1"/>
      <w:numFmt w:val="decimal"/>
      <w:pStyle w:val="Ttulo1"/>
      <w:lvlText w:val="%1."/>
      <w:lvlJc w:val="left"/>
      <w:pPr>
        <w:ind w:left="432" w:hanging="432"/>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lvlText w:val="2.1"/>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F87071"/>
    <w:rsid w:val="000C5AFB"/>
    <w:rsid w:val="001B657E"/>
    <w:rsid w:val="00396B11"/>
    <w:rsid w:val="00566EF3"/>
    <w:rsid w:val="007B6AA5"/>
    <w:rsid w:val="007E6D1C"/>
    <w:rsid w:val="00880E47"/>
    <w:rsid w:val="0089260C"/>
    <w:rsid w:val="008D3531"/>
    <w:rsid w:val="00A5151C"/>
    <w:rsid w:val="00B0613E"/>
    <w:rsid w:val="00C925A2"/>
    <w:rsid w:val="00D95D1E"/>
    <w:rsid w:val="00F8707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71"/>
    <w:rPr>
      <w:rFonts w:eastAsiaTheme="minorEastAsia"/>
      <w:lang w:eastAsia="es-CO"/>
    </w:rPr>
  </w:style>
  <w:style w:type="paragraph" w:styleId="Ttulo1">
    <w:name w:val="heading 1"/>
    <w:basedOn w:val="Normal"/>
    <w:next w:val="Normal"/>
    <w:link w:val="Ttulo1Car"/>
    <w:qFormat/>
    <w:rsid w:val="0089260C"/>
    <w:pPr>
      <w:keepNext/>
      <w:keepLines/>
      <w:numPr>
        <w:numId w:val="1"/>
      </w:numPr>
      <w:spacing w:before="240" w:after="60"/>
      <w:jc w:val="both"/>
      <w:outlineLvl w:val="0"/>
    </w:pPr>
    <w:rPr>
      <w:rFonts w:ascii="Bookman Old Style" w:eastAsia="Domine" w:hAnsi="Bookman Old Style" w:cs="Domine"/>
      <w:b/>
      <w:color w:val="4F81BD" w:themeColor="accent1"/>
      <w:sz w:val="24"/>
      <w:szCs w:val="24"/>
    </w:rPr>
  </w:style>
  <w:style w:type="paragraph" w:styleId="Ttulo2">
    <w:name w:val="heading 2"/>
    <w:basedOn w:val="Normal"/>
    <w:next w:val="Normal"/>
    <w:link w:val="Ttulo2Car"/>
    <w:uiPriority w:val="9"/>
    <w:semiHidden/>
    <w:unhideWhenUsed/>
    <w:qFormat/>
    <w:rsid w:val="001B65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rsid w:val="0089260C"/>
    <w:pPr>
      <w:keepNext/>
      <w:keepLines/>
      <w:numPr>
        <w:ilvl w:val="2"/>
        <w:numId w:val="1"/>
      </w:numPr>
      <w:spacing w:before="280" w:after="80"/>
      <w:contextualSpacing/>
      <w:jc w:val="both"/>
      <w:outlineLvl w:val="2"/>
    </w:pPr>
    <w:rPr>
      <w:rFonts w:ascii="Domine" w:eastAsia="Domine" w:hAnsi="Domine" w:cs="Domine"/>
      <w:b/>
      <w:color w:val="000000"/>
      <w:sz w:val="28"/>
      <w:szCs w:val="28"/>
    </w:rPr>
  </w:style>
  <w:style w:type="paragraph" w:styleId="Ttulo4">
    <w:name w:val="heading 4"/>
    <w:basedOn w:val="Normal"/>
    <w:next w:val="Normal"/>
    <w:link w:val="Ttulo4Car"/>
    <w:rsid w:val="0089260C"/>
    <w:pPr>
      <w:keepNext/>
      <w:keepLines/>
      <w:numPr>
        <w:ilvl w:val="3"/>
        <w:numId w:val="1"/>
      </w:numPr>
      <w:spacing w:before="240" w:after="40"/>
      <w:contextualSpacing/>
      <w:jc w:val="both"/>
      <w:outlineLvl w:val="3"/>
    </w:pPr>
    <w:rPr>
      <w:rFonts w:ascii="Domine" w:eastAsia="Domine" w:hAnsi="Domine" w:cs="Domine"/>
      <w:b/>
      <w:color w:val="000000"/>
      <w:sz w:val="24"/>
      <w:szCs w:val="24"/>
    </w:rPr>
  </w:style>
  <w:style w:type="paragraph" w:styleId="Ttulo5">
    <w:name w:val="heading 5"/>
    <w:basedOn w:val="Normal"/>
    <w:next w:val="Normal"/>
    <w:link w:val="Ttulo5Car"/>
    <w:rsid w:val="0089260C"/>
    <w:pPr>
      <w:keepNext/>
      <w:keepLines/>
      <w:numPr>
        <w:ilvl w:val="4"/>
        <w:numId w:val="1"/>
      </w:numPr>
      <w:spacing w:before="220" w:after="40"/>
      <w:contextualSpacing/>
      <w:jc w:val="both"/>
      <w:outlineLvl w:val="4"/>
    </w:pPr>
    <w:rPr>
      <w:rFonts w:ascii="Domine" w:eastAsia="Domine" w:hAnsi="Domine" w:cs="Domine"/>
      <w:b/>
      <w:color w:val="000000"/>
    </w:rPr>
  </w:style>
  <w:style w:type="paragraph" w:styleId="Ttulo6">
    <w:name w:val="heading 6"/>
    <w:basedOn w:val="Normal"/>
    <w:next w:val="Normal"/>
    <w:link w:val="Ttulo6Car"/>
    <w:rsid w:val="0089260C"/>
    <w:pPr>
      <w:keepNext/>
      <w:keepLines/>
      <w:numPr>
        <w:ilvl w:val="5"/>
        <w:numId w:val="1"/>
      </w:numPr>
      <w:spacing w:before="200" w:after="40"/>
      <w:contextualSpacing/>
      <w:jc w:val="both"/>
      <w:outlineLvl w:val="5"/>
    </w:pPr>
    <w:rPr>
      <w:rFonts w:ascii="Domine" w:eastAsia="Domine" w:hAnsi="Domine" w:cs="Domine"/>
      <w:b/>
      <w:color w:val="000000"/>
      <w:sz w:val="20"/>
      <w:szCs w:val="20"/>
    </w:rPr>
  </w:style>
  <w:style w:type="paragraph" w:styleId="Ttulo7">
    <w:name w:val="heading 7"/>
    <w:basedOn w:val="Normal"/>
    <w:next w:val="Normal"/>
    <w:link w:val="Ttulo7Car"/>
    <w:uiPriority w:val="9"/>
    <w:unhideWhenUsed/>
    <w:qFormat/>
    <w:rsid w:val="0089260C"/>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9260C"/>
    <w:pPr>
      <w:keepNext/>
      <w:keepLines/>
      <w:numPr>
        <w:ilvl w:val="7"/>
        <w:numId w:val="1"/>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9260C"/>
    <w:pPr>
      <w:keepNext/>
      <w:keepLines/>
      <w:numPr>
        <w:ilvl w:val="8"/>
        <w:numId w:val="1"/>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F87071"/>
    <w:pPr>
      <w:spacing w:after="0"/>
    </w:pPr>
    <w:rPr>
      <w:rFonts w:ascii="Arial" w:eastAsia="Arial" w:hAnsi="Arial" w:cs="Arial"/>
      <w:lang w:eastAsia="es-CO"/>
    </w:rPr>
  </w:style>
  <w:style w:type="character" w:customStyle="1" w:styleId="Ttulo1Car">
    <w:name w:val="Título 1 Car"/>
    <w:basedOn w:val="Fuentedeprrafopredeter"/>
    <w:link w:val="Ttulo1"/>
    <w:rsid w:val="0089260C"/>
    <w:rPr>
      <w:rFonts w:ascii="Bookman Old Style" w:eastAsia="Domine" w:hAnsi="Bookman Old Style" w:cs="Domine"/>
      <w:b/>
      <w:color w:val="4F81BD" w:themeColor="accent1"/>
      <w:sz w:val="24"/>
      <w:szCs w:val="24"/>
      <w:lang w:eastAsia="es-CO"/>
    </w:rPr>
  </w:style>
  <w:style w:type="character" w:customStyle="1" w:styleId="Ttulo3Car">
    <w:name w:val="Título 3 Car"/>
    <w:basedOn w:val="Fuentedeprrafopredeter"/>
    <w:link w:val="Ttulo3"/>
    <w:rsid w:val="0089260C"/>
    <w:rPr>
      <w:rFonts w:ascii="Domine" w:eastAsia="Domine" w:hAnsi="Domine" w:cs="Domine"/>
      <w:b/>
      <w:color w:val="000000"/>
      <w:sz w:val="28"/>
      <w:szCs w:val="28"/>
      <w:lang w:eastAsia="es-CO"/>
    </w:rPr>
  </w:style>
  <w:style w:type="character" w:customStyle="1" w:styleId="Ttulo4Car">
    <w:name w:val="Título 4 Car"/>
    <w:basedOn w:val="Fuentedeprrafopredeter"/>
    <w:link w:val="Ttulo4"/>
    <w:rsid w:val="0089260C"/>
    <w:rPr>
      <w:rFonts w:ascii="Domine" w:eastAsia="Domine" w:hAnsi="Domine" w:cs="Domine"/>
      <w:b/>
      <w:color w:val="000000"/>
      <w:sz w:val="24"/>
      <w:szCs w:val="24"/>
      <w:lang w:eastAsia="es-CO"/>
    </w:rPr>
  </w:style>
  <w:style w:type="character" w:customStyle="1" w:styleId="Ttulo5Car">
    <w:name w:val="Título 5 Car"/>
    <w:basedOn w:val="Fuentedeprrafopredeter"/>
    <w:link w:val="Ttulo5"/>
    <w:rsid w:val="0089260C"/>
    <w:rPr>
      <w:rFonts w:ascii="Domine" w:eastAsia="Domine" w:hAnsi="Domine" w:cs="Domine"/>
      <w:b/>
      <w:color w:val="000000"/>
      <w:lang w:eastAsia="es-CO"/>
    </w:rPr>
  </w:style>
  <w:style w:type="character" w:customStyle="1" w:styleId="Ttulo6Car">
    <w:name w:val="Título 6 Car"/>
    <w:basedOn w:val="Fuentedeprrafopredeter"/>
    <w:link w:val="Ttulo6"/>
    <w:rsid w:val="0089260C"/>
    <w:rPr>
      <w:rFonts w:ascii="Domine" w:eastAsia="Domine" w:hAnsi="Domine" w:cs="Domine"/>
      <w:b/>
      <w:color w:val="000000"/>
      <w:sz w:val="20"/>
      <w:szCs w:val="20"/>
      <w:lang w:eastAsia="es-CO"/>
    </w:rPr>
  </w:style>
  <w:style w:type="character" w:customStyle="1" w:styleId="Ttulo7Car">
    <w:name w:val="Título 7 Car"/>
    <w:basedOn w:val="Fuentedeprrafopredeter"/>
    <w:link w:val="Ttulo7"/>
    <w:uiPriority w:val="9"/>
    <w:rsid w:val="0089260C"/>
    <w:rPr>
      <w:rFonts w:asciiTheme="majorHAnsi" w:eastAsiaTheme="majorEastAsia" w:hAnsiTheme="majorHAnsi" w:cstheme="majorBidi"/>
      <w:i/>
      <w:iCs/>
      <w:color w:val="404040" w:themeColor="text1" w:themeTint="BF"/>
      <w:lang w:eastAsia="es-CO"/>
    </w:rPr>
  </w:style>
  <w:style w:type="character" w:customStyle="1" w:styleId="Ttulo8Car">
    <w:name w:val="Título 8 Car"/>
    <w:basedOn w:val="Fuentedeprrafopredeter"/>
    <w:link w:val="Ttulo8"/>
    <w:uiPriority w:val="9"/>
    <w:semiHidden/>
    <w:rsid w:val="0089260C"/>
    <w:rPr>
      <w:rFonts w:asciiTheme="majorHAnsi" w:eastAsiaTheme="majorEastAsia" w:hAnsiTheme="majorHAnsi" w:cstheme="majorBidi"/>
      <w:color w:val="404040" w:themeColor="text1" w:themeTint="BF"/>
      <w:sz w:val="20"/>
      <w:szCs w:val="20"/>
      <w:lang w:eastAsia="es-CO"/>
    </w:rPr>
  </w:style>
  <w:style w:type="character" w:customStyle="1" w:styleId="Ttulo9Car">
    <w:name w:val="Título 9 Car"/>
    <w:basedOn w:val="Fuentedeprrafopredeter"/>
    <w:link w:val="Ttulo9"/>
    <w:uiPriority w:val="9"/>
    <w:semiHidden/>
    <w:rsid w:val="0089260C"/>
    <w:rPr>
      <w:rFonts w:asciiTheme="majorHAnsi" w:eastAsiaTheme="majorEastAsia" w:hAnsiTheme="majorHAnsi" w:cstheme="majorBidi"/>
      <w:i/>
      <w:iCs/>
      <w:color w:val="404040" w:themeColor="text1" w:themeTint="BF"/>
      <w:sz w:val="20"/>
      <w:szCs w:val="20"/>
      <w:lang w:eastAsia="es-CO"/>
    </w:rPr>
  </w:style>
  <w:style w:type="character" w:customStyle="1" w:styleId="Ttulo2Car">
    <w:name w:val="Título 2 Car"/>
    <w:basedOn w:val="Fuentedeprrafopredeter"/>
    <w:link w:val="Ttulo2"/>
    <w:uiPriority w:val="9"/>
    <w:semiHidden/>
    <w:rsid w:val="001B657E"/>
    <w:rPr>
      <w:rFonts w:asciiTheme="majorHAnsi" w:eastAsiaTheme="majorEastAsia" w:hAnsiTheme="majorHAnsi" w:cstheme="majorBidi"/>
      <w:b/>
      <w:bCs/>
      <w:color w:val="4F81BD" w:themeColor="accent1"/>
      <w:sz w:val="26"/>
      <w:szCs w:val="26"/>
      <w:lang w:eastAsia="es-CO"/>
    </w:rPr>
  </w:style>
  <w:style w:type="paragraph" w:styleId="Prrafodelista">
    <w:name w:val="List Paragraph"/>
    <w:basedOn w:val="Normal"/>
    <w:uiPriority w:val="34"/>
    <w:qFormat/>
    <w:rsid w:val="00C925A2"/>
    <w:pPr>
      <w:spacing w:after="160" w:line="259" w:lineRule="auto"/>
      <w:ind w:left="720"/>
      <w:contextualSpacing/>
    </w:pPr>
    <w:rPr>
      <w:rFonts w:eastAsiaTheme="minorHAnsi"/>
      <w:lang w:eastAsia="en-US"/>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rsid w:val="00880E47"/>
    <w:pPr>
      <w:spacing w:after="0" w:line="240" w:lineRule="auto"/>
    </w:pPr>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80E47"/>
    <w:rPr>
      <w:sz w:val="20"/>
      <w:szCs w:val="20"/>
    </w:rPr>
  </w:style>
  <w:style w:type="character" w:styleId="Refdenotaalpie">
    <w:name w:val="footnote reference"/>
    <w:basedOn w:val="Fuentedeprrafopredeter"/>
    <w:uiPriority w:val="99"/>
    <w:semiHidden/>
    <w:unhideWhenUsed/>
    <w:rsid w:val="00880E4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1240</Words>
  <Characters>6823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jgallego</dc:creator>
  <cp:lastModifiedBy>jgallego</cp:lastModifiedBy>
  <cp:revision>2</cp:revision>
  <dcterms:created xsi:type="dcterms:W3CDTF">2018-04-17T21:29:00Z</dcterms:created>
  <dcterms:modified xsi:type="dcterms:W3CDTF">2018-04-17T21:29:00Z</dcterms:modified>
</cp:coreProperties>
</file>